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黑体" w:hAnsi="黑体" w:eastAsia="黑体" w:cs="方正小标宋简体"/>
          <w:sz w:val="32"/>
          <w:szCs w:val="32"/>
        </w:rPr>
      </w:pPr>
      <w:r>
        <w:rPr>
          <w:rFonts w:hint="eastAsia" w:ascii="黑体" w:hAnsi="黑体" w:eastAsia="黑体" w:cs="方正小标宋简体"/>
          <w:sz w:val="32"/>
          <w:szCs w:val="32"/>
          <w:lang w:val="zh-CN"/>
        </w:rPr>
        <w:t>附件2-</w:t>
      </w:r>
      <w:r>
        <w:rPr>
          <w:rFonts w:hint="eastAsia" w:ascii="黑体" w:hAnsi="黑体" w:eastAsia="黑体" w:cs="方正小标宋简体"/>
          <w:sz w:val="32"/>
          <w:szCs w:val="32"/>
        </w:rPr>
        <w:t>1</w:t>
      </w:r>
    </w:p>
    <w:p>
      <w:pPr>
        <w:spacing w:line="360" w:lineRule="auto"/>
        <w:rPr>
          <w:rFonts w:ascii="Times New Roman" w:hAnsi="Times New Roman" w:eastAsia="方正小标宋简体" w:cs="方正小标宋简体"/>
          <w:sz w:val="40"/>
          <w:szCs w:val="40"/>
          <w:lang w:val="zh-CN"/>
        </w:rPr>
      </w:pPr>
    </w:p>
    <w:p>
      <w:pPr>
        <w:spacing w:line="360" w:lineRule="auto"/>
        <w:rPr>
          <w:rFonts w:ascii="Times New Roman" w:hAnsi="Times New Roman" w:eastAsia="方正小标宋简体" w:cs="方正小标宋简体"/>
          <w:sz w:val="40"/>
          <w:szCs w:val="40"/>
          <w:lang w:val="zh-CN"/>
        </w:rPr>
      </w:pPr>
      <w:r>
        <w:rPr>
          <w:rFonts w:hint="eastAsia" w:ascii="Times New Roman" w:hAnsi="Times New Roman" w:eastAsia="方正小标宋简体" w:cs="方正小标宋简体"/>
          <w:sz w:val="40"/>
          <w:szCs w:val="40"/>
          <w:lang w:val="zh-CN"/>
        </w:rPr>
        <w:t>202</w:t>
      </w:r>
      <w:r>
        <w:rPr>
          <w:rFonts w:ascii="Times New Roman" w:hAnsi="Times New Roman" w:eastAsia="方正小标宋简体" w:cs="方正小标宋简体"/>
          <w:sz w:val="40"/>
          <w:szCs w:val="40"/>
          <w:lang w:val="zh-CN"/>
        </w:rPr>
        <w:t>1</w:t>
      </w:r>
      <w:r>
        <w:rPr>
          <w:rFonts w:hint="eastAsia" w:ascii="Times New Roman" w:hAnsi="Times New Roman" w:eastAsia="方正小标宋简体" w:cs="方正小标宋简体"/>
          <w:sz w:val="40"/>
          <w:szCs w:val="40"/>
          <w:lang w:val="zh-CN"/>
        </w:rPr>
        <w:t>年江苏省中等职业学校学生学业水平考试</w:t>
      </w:r>
    </w:p>
    <w:p>
      <w:pPr>
        <w:spacing w:line="360" w:lineRule="auto"/>
        <w:rPr>
          <w:rFonts w:ascii="Times New Roman" w:hAnsi="Times New Roman" w:eastAsia="方正小标宋简体" w:cs="方正小标宋简体"/>
          <w:sz w:val="40"/>
          <w:szCs w:val="40"/>
          <w:lang w:val="zh-CN"/>
        </w:rPr>
      </w:pPr>
      <w:r>
        <w:rPr>
          <w:rFonts w:hint="eastAsia" w:ascii="Times New Roman" w:hAnsi="Times New Roman" w:eastAsia="方正小标宋简体" w:cs="方正小标宋简体"/>
          <w:sz w:val="40"/>
          <w:szCs w:val="40"/>
          <w:lang w:val="zh-CN"/>
        </w:rPr>
        <w:t>农林牧渔类专业基本技能考试指导性实施方案</w:t>
      </w:r>
    </w:p>
    <w:p>
      <w:pPr>
        <w:snapToGrid w:val="0"/>
        <w:spacing w:line="560" w:lineRule="exact"/>
        <w:ind w:firstLine="640" w:firstLineChars="200"/>
        <w:outlineLvl w:val="0"/>
        <w:rPr>
          <w:rFonts w:hint="eastAsia" w:ascii="Times New Roman" w:hAnsi="Times New Roman" w:eastAsia="黑体" w:cs="黑体"/>
          <w:bCs/>
          <w:kern w:val="0"/>
          <w:sz w:val="32"/>
          <w:szCs w:val="32"/>
        </w:rPr>
      </w:pPr>
    </w:p>
    <w:p>
      <w:pPr>
        <w:snapToGrid w:val="0"/>
        <w:spacing w:line="560" w:lineRule="exact"/>
        <w:ind w:firstLine="640" w:firstLineChars="200"/>
        <w:outlineLvl w:val="0"/>
        <w:rPr>
          <w:rFonts w:ascii="Times New Roman" w:hAnsi="Times New Roman" w:eastAsia="黑体" w:cs="黑体"/>
          <w:bCs/>
          <w:kern w:val="0"/>
          <w:sz w:val="32"/>
          <w:szCs w:val="32"/>
        </w:rPr>
      </w:pPr>
      <w:r>
        <w:rPr>
          <w:rFonts w:hint="eastAsia" w:ascii="Times New Roman" w:hAnsi="Times New Roman" w:eastAsia="黑体" w:cs="黑体"/>
          <w:bCs/>
          <w:kern w:val="0"/>
          <w:sz w:val="32"/>
          <w:szCs w:val="32"/>
        </w:rPr>
        <w:t>一、考试对象</w:t>
      </w:r>
    </w:p>
    <w:p>
      <w:pPr>
        <w:snapToGrid w:val="0"/>
        <w:spacing w:line="560" w:lineRule="exact"/>
        <w:ind w:firstLine="640" w:firstLineChars="200"/>
        <w:rPr>
          <w:rFonts w:ascii="Times New Roman" w:hAnsi="Times New Roman" w:eastAsia="仿宋" w:cs="仿宋"/>
          <w:kern w:val="0"/>
          <w:sz w:val="32"/>
          <w:szCs w:val="32"/>
        </w:rPr>
      </w:pPr>
      <w:r>
        <w:rPr>
          <w:rFonts w:hint="eastAsia" w:ascii="Times New Roman" w:hAnsi="Times New Roman" w:eastAsia="仿宋" w:cs="仿宋"/>
          <w:kern w:val="0"/>
          <w:sz w:val="32"/>
          <w:szCs w:val="32"/>
        </w:rPr>
        <w:t>面向全省中等职业学校（含技工院校）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2022届</w:t>
      </w:r>
      <w:r>
        <w:rPr>
          <w:rFonts w:hint="eastAsia" w:ascii="Times New Roman" w:hAnsi="Times New Roman" w:eastAsia="仿宋" w:cs="仿宋"/>
          <w:kern w:val="0"/>
          <w:sz w:val="32"/>
          <w:szCs w:val="32"/>
          <w:lang w:val="zh-CN"/>
        </w:rPr>
        <w:t>农林牧渔类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种植方向和养殖方向相关专业考生。</w:t>
      </w:r>
    </w:p>
    <w:p>
      <w:pPr>
        <w:snapToGrid w:val="0"/>
        <w:spacing w:line="560" w:lineRule="exact"/>
        <w:ind w:firstLine="643" w:firstLineChars="200"/>
        <w:rPr>
          <w:rFonts w:ascii="Times New Roman" w:hAnsi="Times New Roman" w:eastAsia="仿宋" w:cs="仿宋"/>
          <w:sz w:val="32"/>
          <w:szCs w:val="32"/>
          <w:lang w:val="zh-CN"/>
        </w:rPr>
      </w:pPr>
      <w:r>
        <w:rPr>
          <w:rFonts w:hint="eastAsia" w:ascii="Times New Roman" w:hAnsi="Times New Roman" w:eastAsia="仿宋" w:cs="仿宋"/>
          <w:b/>
          <w:kern w:val="0"/>
          <w:sz w:val="32"/>
          <w:szCs w:val="32"/>
        </w:rPr>
        <w:t>种植方向：</w:t>
      </w:r>
      <w:r>
        <w:rPr>
          <w:rFonts w:hint="eastAsia" w:ascii="Times New Roman" w:hAnsi="Times New Roman" w:eastAsia="仿宋" w:cs="仿宋"/>
          <w:sz w:val="32"/>
          <w:szCs w:val="32"/>
          <w:lang w:val="zh-CN"/>
        </w:rPr>
        <w:t>现代农艺技术、观光农业经营、植物保护、果蔬花卉生产技术、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园林技术</w:t>
      </w:r>
      <w:r>
        <w:rPr>
          <w:rFonts w:hint="eastAsia" w:ascii="Times New Roman" w:hAnsi="Times New Roman" w:eastAsia="仿宋" w:cs="仿宋"/>
          <w:sz w:val="32"/>
          <w:szCs w:val="32"/>
          <w:lang w:val="zh-CN"/>
        </w:rPr>
        <w:t>、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园林绿化</w:t>
      </w:r>
      <w:r>
        <w:rPr>
          <w:rFonts w:hint="eastAsia" w:ascii="Times New Roman" w:hAnsi="Times New Roman" w:eastAsia="仿宋" w:cs="仿宋"/>
          <w:sz w:val="32"/>
          <w:szCs w:val="32"/>
          <w:lang w:val="zh-CN"/>
        </w:rPr>
        <w:t>、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设施农业生产技术</w:t>
      </w:r>
      <w:r>
        <w:rPr>
          <w:rFonts w:hint="eastAsia" w:ascii="Times New Roman" w:hAnsi="Times New Roman" w:eastAsia="仿宋" w:cs="仿宋"/>
          <w:sz w:val="32"/>
          <w:szCs w:val="32"/>
          <w:lang w:val="zh-CN"/>
        </w:rPr>
        <w:t>、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农产品保鲜与加工</w:t>
      </w:r>
      <w:r>
        <w:rPr>
          <w:rFonts w:hint="eastAsia" w:ascii="Times New Roman" w:hAnsi="Times New Roman" w:eastAsia="仿宋" w:cs="仿宋"/>
          <w:sz w:val="32"/>
          <w:szCs w:val="32"/>
        </w:rPr>
        <w:t>等相关专业</w:t>
      </w:r>
      <w:r>
        <w:rPr>
          <w:rFonts w:hint="eastAsia" w:ascii="Times New Roman" w:hAnsi="Times New Roman" w:eastAsia="仿宋" w:cs="仿宋"/>
          <w:sz w:val="32"/>
          <w:szCs w:val="32"/>
          <w:lang w:val="zh-CN"/>
        </w:rPr>
        <w:t>。</w:t>
      </w:r>
    </w:p>
    <w:p>
      <w:pPr>
        <w:snapToGrid w:val="0"/>
        <w:spacing w:line="560" w:lineRule="exact"/>
        <w:ind w:firstLine="643" w:firstLineChars="200"/>
        <w:rPr>
          <w:rFonts w:ascii="Times New Roman" w:hAnsi="Times New Roman" w:eastAsia="仿宋" w:cs="仿宋"/>
          <w:kern w:val="0"/>
          <w:sz w:val="32"/>
          <w:szCs w:val="32"/>
        </w:rPr>
      </w:pPr>
      <w:r>
        <w:rPr>
          <w:rFonts w:hint="eastAsia" w:ascii="Times New Roman" w:hAnsi="Times New Roman" w:eastAsia="仿宋" w:cs="仿宋"/>
          <w:b/>
          <w:kern w:val="0"/>
          <w:sz w:val="32"/>
          <w:szCs w:val="32"/>
        </w:rPr>
        <w:t>养殖方向：</w:t>
      </w:r>
      <w:r>
        <w:rPr>
          <w:rFonts w:hint="eastAsia" w:ascii="Times New Roman" w:hAnsi="Times New Roman" w:eastAsia="仿宋" w:cs="仿宋"/>
          <w:sz w:val="32"/>
          <w:szCs w:val="32"/>
          <w:lang w:val="zh-CN"/>
        </w:rPr>
        <w:t>畜禽生产与疾病防治、畜牧兽医、宠物养护与经营、淡水养殖</w:t>
      </w:r>
      <w:r>
        <w:rPr>
          <w:rFonts w:hint="eastAsia" w:ascii="Times New Roman" w:hAnsi="Times New Roman" w:eastAsia="仿宋" w:cs="仿宋"/>
          <w:sz w:val="32"/>
          <w:szCs w:val="32"/>
        </w:rPr>
        <w:t>等相关专业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。</w:t>
      </w:r>
    </w:p>
    <w:p>
      <w:pPr>
        <w:snapToGrid w:val="0"/>
        <w:spacing w:line="560" w:lineRule="exact"/>
        <w:ind w:firstLine="640" w:firstLineChars="200"/>
        <w:rPr>
          <w:rFonts w:ascii="Times New Roman" w:hAnsi="Times New Roman" w:eastAsia="仿宋" w:cs="仿宋"/>
          <w:kern w:val="0"/>
          <w:sz w:val="32"/>
          <w:szCs w:val="32"/>
        </w:rPr>
      </w:pPr>
      <w:r>
        <w:rPr>
          <w:rFonts w:hint="eastAsia" w:ascii="Times New Roman" w:hAnsi="Times New Roman" w:eastAsia="仿宋" w:cs="仿宋"/>
          <w:kern w:val="0"/>
          <w:sz w:val="32"/>
          <w:szCs w:val="32"/>
        </w:rPr>
        <w:t>现代职教体系“3+3”、“3+4”试点项目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2022届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学生须参加考试。五年制高职学生是否参加考试，由各市教育局统筹安排。</w:t>
      </w:r>
    </w:p>
    <w:p>
      <w:pPr>
        <w:spacing w:before="156" w:beforeLines="50" w:after="156" w:afterLines="50" w:line="400" w:lineRule="exact"/>
        <w:ind w:firstLine="640" w:firstLineChars="200"/>
        <w:outlineLvl w:val="0"/>
        <w:rPr>
          <w:rFonts w:ascii="Times New Roman" w:hAnsi="Times New Roman" w:eastAsia="黑体" w:cs="黑体"/>
          <w:bCs/>
          <w:kern w:val="0"/>
          <w:sz w:val="32"/>
          <w:szCs w:val="32"/>
        </w:rPr>
      </w:pPr>
      <w:r>
        <w:rPr>
          <w:rFonts w:hint="eastAsia" w:ascii="Times New Roman" w:hAnsi="Times New Roman" w:eastAsia="黑体" w:cs="黑体"/>
          <w:bCs/>
          <w:kern w:val="0"/>
          <w:sz w:val="32"/>
          <w:szCs w:val="32"/>
        </w:rPr>
        <w:t>二、考试内容、方式、时长及配分</w:t>
      </w:r>
    </w:p>
    <w:tbl>
      <w:tblPr>
        <w:tblStyle w:val="2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9"/>
        <w:gridCol w:w="3555"/>
        <w:gridCol w:w="1166"/>
        <w:gridCol w:w="1241"/>
        <w:gridCol w:w="10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62" w:type="pc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仿宋"/>
                <w:b/>
                <w:sz w:val="24"/>
              </w:rPr>
            </w:pPr>
            <w:r>
              <w:rPr>
                <w:rFonts w:hint="eastAsia" w:ascii="Times New Roman" w:hAnsi="Times New Roman" w:eastAsia="宋体" w:cs="仿宋"/>
                <w:b/>
                <w:sz w:val="24"/>
              </w:rPr>
              <w:t>专业方向</w:t>
            </w:r>
          </w:p>
        </w:tc>
        <w:tc>
          <w:tcPr>
            <w:tcW w:w="2086" w:type="pc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仿宋"/>
                <w:b/>
                <w:sz w:val="24"/>
              </w:rPr>
            </w:pPr>
            <w:r>
              <w:rPr>
                <w:rFonts w:hint="eastAsia" w:ascii="Times New Roman" w:hAnsi="Times New Roman" w:eastAsia="宋体" w:cs="仿宋"/>
                <w:b/>
                <w:sz w:val="24"/>
              </w:rPr>
              <w:t>考试内容</w:t>
            </w:r>
          </w:p>
        </w:tc>
        <w:tc>
          <w:tcPr>
            <w:tcW w:w="684" w:type="pc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仿宋"/>
                <w:b/>
                <w:sz w:val="24"/>
              </w:rPr>
            </w:pPr>
            <w:r>
              <w:rPr>
                <w:rFonts w:hint="eastAsia" w:ascii="Times New Roman" w:hAnsi="Times New Roman" w:eastAsia="宋体" w:cs="仿宋"/>
                <w:b/>
                <w:sz w:val="24"/>
              </w:rPr>
              <w:t>方式</w:t>
            </w:r>
          </w:p>
        </w:tc>
        <w:tc>
          <w:tcPr>
            <w:tcW w:w="728" w:type="pc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仿宋"/>
                <w:b/>
                <w:sz w:val="24"/>
              </w:rPr>
            </w:pPr>
            <w:r>
              <w:rPr>
                <w:rFonts w:hint="eastAsia" w:ascii="Times New Roman" w:hAnsi="Times New Roman" w:eastAsia="宋体" w:cs="仿宋"/>
                <w:b/>
                <w:sz w:val="24"/>
              </w:rPr>
              <w:t>时长</w:t>
            </w:r>
          </w:p>
        </w:tc>
        <w:tc>
          <w:tcPr>
            <w:tcW w:w="640" w:type="pc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仿宋"/>
                <w:b/>
                <w:sz w:val="24"/>
              </w:rPr>
            </w:pPr>
            <w:r>
              <w:rPr>
                <w:rFonts w:hint="eastAsia" w:ascii="Times New Roman" w:hAnsi="Times New Roman" w:eastAsia="宋体" w:cs="仿宋"/>
                <w:b/>
                <w:sz w:val="24"/>
              </w:rPr>
              <w:t>配分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62" w:type="pct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sz w:val="24"/>
                <w:szCs w:val="24"/>
              </w:rPr>
              <w:t>种植方向</w:t>
            </w:r>
          </w:p>
        </w:tc>
        <w:tc>
          <w:tcPr>
            <w:tcW w:w="2086" w:type="pct"/>
            <w:vAlign w:val="center"/>
          </w:tcPr>
          <w:p>
            <w:pPr>
              <w:spacing w:line="400" w:lineRule="exact"/>
              <w:rPr>
                <w:rFonts w:ascii="Times New Roman" w:hAnsi="Times New Roman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sz w:val="24"/>
                <w:szCs w:val="24"/>
              </w:rPr>
              <w:t>常见植物和病虫害识别</w:t>
            </w:r>
          </w:p>
        </w:tc>
        <w:tc>
          <w:tcPr>
            <w:tcW w:w="684" w:type="pc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kern w:val="0"/>
                <w:sz w:val="24"/>
                <w:szCs w:val="24"/>
              </w:rPr>
              <w:t>信息化</w:t>
            </w:r>
          </w:p>
        </w:tc>
        <w:tc>
          <w:tcPr>
            <w:tcW w:w="728" w:type="pc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kern w:val="0"/>
                <w:sz w:val="24"/>
                <w:szCs w:val="24"/>
              </w:rPr>
              <w:t>30分钟</w:t>
            </w:r>
          </w:p>
        </w:tc>
        <w:tc>
          <w:tcPr>
            <w:tcW w:w="640" w:type="pc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kern w:val="0"/>
                <w:sz w:val="24"/>
                <w:szCs w:val="24"/>
              </w:rPr>
              <w:t>50分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62" w:type="pct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sz w:val="24"/>
                <w:szCs w:val="24"/>
              </w:rPr>
            </w:pPr>
          </w:p>
        </w:tc>
        <w:tc>
          <w:tcPr>
            <w:tcW w:w="2086" w:type="pct"/>
            <w:vAlign w:val="center"/>
          </w:tcPr>
          <w:p>
            <w:pPr>
              <w:spacing w:line="400" w:lineRule="exact"/>
              <w:rPr>
                <w:rFonts w:ascii="Times New Roman" w:hAnsi="Times New Roman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sz w:val="24"/>
                <w:szCs w:val="24"/>
              </w:rPr>
              <w:t>土壤pH值测定</w:t>
            </w:r>
          </w:p>
        </w:tc>
        <w:tc>
          <w:tcPr>
            <w:tcW w:w="684" w:type="pct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kern w:val="0"/>
                <w:sz w:val="24"/>
                <w:szCs w:val="24"/>
              </w:rPr>
              <w:t>实操</w:t>
            </w:r>
          </w:p>
        </w:tc>
        <w:tc>
          <w:tcPr>
            <w:tcW w:w="728" w:type="pc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kern w:val="0"/>
                <w:sz w:val="24"/>
                <w:szCs w:val="24"/>
              </w:rPr>
              <w:t>30分钟</w:t>
            </w:r>
          </w:p>
        </w:tc>
        <w:tc>
          <w:tcPr>
            <w:tcW w:w="640" w:type="pc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kern w:val="0"/>
                <w:sz w:val="24"/>
                <w:szCs w:val="24"/>
              </w:rPr>
              <w:t>50分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62" w:type="pct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sz w:val="24"/>
                <w:szCs w:val="24"/>
              </w:rPr>
              <w:t>养殖方向</w:t>
            </w:r>
          </w:p>
        </w:tc>
        <w:tc>
          <w:tcPr>
            <w:tcW w:w="2086" w:type="pct"/>
            <w:vAlign w:val="center"/>
          </w:tcPr>
          <w:p>
            <w:pPr>
              <w:spacing w:line="400" w:lineRule="exact"/>
              <w:rPr>
                <w:rFonts w:ascii="Times New Roman" w:hAnsi="Times New Roman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sz w:val="24"/>
                <w:szCs w:val="24"/>
              </w:rPr>
              <w:t>动物品种及饲料原料识别</w:t>
            </w:r>
          </w:p>
        </w:tc>
        <w:tc>
          <w:tcPr>
            <w:tcW w:w="684" w:type="pc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kern w:val="0"/>
                <w:sz w:val="24"/>
                <w:szCs w:val="24"/>
              </w:rPr>
              <w:t>信息化</w:t>
            </w:r>
          </w:p>
        </w:tc>
        <w:tc>
          <w:tcPr>
            <w:tcW w:w="728" w:type="pc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kern w:val="0"/>
                <w:sz w:val="24"/>
                <w:szCs w:val="24"/>
              </w:rPr>
              <w:t>30分钟</w:t>
            </w:r>
          </w:p>
        </w:tc>
        <w:tc>
          <w:tcPr>
            <w:tcW w:w="640" w:type="pc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kern w:val="0"/>
                <w:sz w:val="24"/>
                <w:szCs w:val="24"/>
              </w:rPr>
              <w:t>50分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62" w:type="pct"/>
            <w:vMerge w:val="continue"/>
          </w:tcPr>
          <w:p>
            <w:pPr>
              <w:spacing w:line="400" w:lineRule="exact"/>
              <w:rPr>
                <w:rFonts w:ascii="Times New Roman" w:hAnsi="Times New Roman" w:eastAsia="仿宋" w:cs="仿宋"/>
                <w:sz w:val="24"/>
                <w:szCs w:val="24"/>
              </w:rPr>
            </w:pPr>
          </w:p>
        </w:tc>
        <w:tc>
          <w:tcPr>
            <w:tcW w:w="2086" w:type="pct"/>
            <w:vAlign w:val="center"/>
          </w:tcPr>
          <w:p>
            <w:pPr>
              <w:spacing w:line="400" w:lineRule="exact"/>
              <w:rPr>
                <w:rFonts w:ascii="Times New Roman" w:hAnsi="Times New Roman" w:eastAsia="仿宋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sz w:val="24"/>
                <w:szCs w:val="24"/>
              </w:rPr>
              <w:t>注射器使用及药物配制</w:t>
            </w:r>
          </w:p>
        </w:tc>
        <w:tc>
          <w:tcPr>
            <w:tcW w:w="684" w:type="pct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kern w:val="0"/>
                <w:sz w:val="24"/>
                <w:szCs w:val="24"/>
              </w:rPr>
              <w:t>实操</w:t>
            </w:r>
          </w:p>
        </w:tc>
        <w:tc>
          <w:tcPr>
            <w:tcW w:w="728" w:type="pc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kern w:val="0"/>
                <w:sz w:val="24"/>
                <w:szCs w:val="24"/>
              </w:rPr>
              <w:t>30分钟</w:t>
            </w:r>
          </w:p>
        </w:tc>
        <w:tc>
          <w:tcPr>
            <w:tcW w:w="640" w:type="pc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kern w:val="0"/>
                <w:sz w:val="24"/>
                <w:szCs w:val="24"/>
              </w:rPr>
              <w:t>50分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32" w:type="pct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sz w:val="24"/>
                <w:szCs w:val="24"/>
              </w:rPr>
              <w:t>总计</w:t>
            </w:r>
          </w:p>
        </w:tc>
        <w:tc>
          <w:tcPr>
            <w:tcW w:w="728" w:type="pc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仿宋"/>
                <w:kern w:val="0"/>
                <w:sz w:val="24"/>
                <w:szCs w:val="24"/>
              </w:rPr>
              <w:t>60</w:t>
            </w:r>
            <w:r>
              <w:rPr>
                <w:rFonts w:hint="eastAsia" w:ascii="Times New Roman" w:hAnsi="Times New Roman" w:eastAsia="仿宋" w:cs="仿宋"/>
                <w:kern w:val="0"/>
                <w:sz w:val="24"/>
                <w:szCs w:val="24"/>
              </w:rPr>
              <w:t>分钟</w:t>
            </w:r>
          </w:p>
        </w:tc>
        <w:tc>
          <w:tcPr>
            <w:tcW w:w="640" w:type="pc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仿宋"/>
                <w:kern w:val="0"/>
                <w:sz w:val="24"/>
                <w:szCs w:val="24"/>
              </w:rPr>
              <w:t>100</w:t>
            </w:r>
            <w:r>
              <w:rPr>
                <w:rFonts w:hint="eastAsia" w:ascii="Times New Roman" w:hAnsi="Times New Roman" w:eastAsia="仿宋" w:cs="仿宋"/>
                <w:kern w:val="0"/>
                <w:sz w:val="24"/>
                <w:szCs w:val="24"/>
              </w:rPr>
              <w:t>分</w:t>
            </w:r>
          </w:p>
        </w:tc>
      </w:tr>
    </w:tbl>
    <w:p>
      <w:pPr>
        <w:snapToGrid w:val="0"/>
        <w:spacing w:line="560" w:lineRule="exact"/>
        <w:ind w:firstLine="640" w:firstLineChars="200"/>
        <w:outlineLvl w:val="0"/>
        <w:rPr>
          <w:rFonts w:ascii="Times New Roman" w:hAnsi="Times New Roman" w:eastAsia="黑体" w:cs="黑体"/>
          <w:bCs/>
          <w:kern w:val="0"/>
          <w:sz w:val="32"/>
          <w:szCs w:val="32"/>
        </w:rPr>
      </w:pPr>
      <w:r>
        <w:rPr>
          <w:rFonts w:hint="eastAsia" w:ascii="Times New Roman" w:hAnsi="Times New Roman" w:eastAsia="黑体" w:cs="黑体"/>
          <w:bCs/>
          <w:kern w:val="0"/>
          <w:sz w:val="32"/>
          <w:szCs w:val="32"/>
        </w:rPr>
        <w:t>三、考试时间</w:t>
      </w:r>
    </w:p>
    <w:p>
      <w:pPr>
        <w:snapToGrid w:val="0"/>
        <w:spacing w:line="560" w:lineRule="exact"/>
        <w:ind w:firstLine="640" w:firstLineChars="200"/>
        <w:rPr>
          <w:rFonts w:ascii="Times New Roman" w:hAnsi="Times New Roman" w:eastAsia="仿宋" w:cs="仿宋"/>
          <w:kern w:val="0"/>
          <w:sz w:val="32"/>
          <w:szCs w:val="32"/>
        </w:rPr>
      </w:pPr>
      <w:r>
        <w:rPr>
          <w:rFonts w:hint="eastAsia" w:ascii="Times New Roman" w:hAnsi="Times New Roman" w:eastAsia="仿宋" w:cs="仿宋"/>
          <w:kern w:val="0"/>
          <w:sz w:val="32"/>
          <w:szCs w:val="32"/>
        </w:rPr>
        <w:t>20</w:t>
      </w:r>
      <w:r>
        <w:rPr>
          <w:rFonts w:ascii="Times New Roman" w:hAnsi="Times New Roman" w:eastAsia="仿宋" w:cs="仿宋"/>
          <w:kern w:val="0"/>
          <w:sz w:val="32"/>
          <w:szCs w:val="32"/>
        </w:rPr>
        <w:t>21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年11月中旬。</w:t>
      </w:r>
    </w:p>
    <w:p>
      <w:pPr>
        <w:snapToGrid w:val="0"/>
        <w:spacing w:line="560" w:lineRule="exact"/>
        <w:ind w:firstLine="640" w:firstLineChars="200"/>
        <w:outlineLvl w:val="0"/>
        <w:rPr>
          <w:rFonts w:ascii="Times New Roman" w:hAnsi="Times New Roman" w:eastAsia="黑体" w:cs="黑体"/>
          <w:bCs/>
          <w:kern w:val="0"/>
          <w:sz w:val="32"/>
          <w:szCs w:val="32"/>
        </w:rPr>
      </w:pPr>
      <w:r>
        <w:rPr>
          <w:rFonts w:hint="eastAsia" w:ascii="Times New Roman" w:hAnsi="Times New Roman" w:eastAsia="黑体" w:cs="黑体"/>
          <w:bCs/>
          <w:kern w:val="0"/>
          <w:sz w:val="32"/>
          <w:szCs w:val="32"/>
        </w:rPr>
        <w:t>四、组织实施</w:t>
      </w:r>
    </w:p>
    <w:p>
      <w:pPr>
        <w:snapToGrid w:val="0"/>
        <w:spacing w:line="560" w:lineRule="exact"/>
        <w:ind w:firstLine="640" w:firstLineChars="200"/>
        <w:outlineLvl w:val="1"/>
        <w:rPr>
          <w:rFonts w:ascii="Times New Roman" w:hAnsi="Times New Roman" w:eastAsia="楷体" w:cs="楷体"/>
          <w:kern w:val="0"/>
          <w:sz w:val="32"/>
          <w:szCs w:val="32"/>
        </w:rPr>
      </w:pPr>
      <w:r>
        <w:rPr>
          <w:rFonts w:hint="eastAsia" w:ascii="Times New Roman" w:hAnsi="Times New Roman" w:eastAsia="楷体" w:cs="楷体"/>
          <w:kern w:val="0"/>
          <w:sz w:val="32"/>
          <w:szCs w:val="32"/>
        </w:rPr>
        <w:t>（一）考点设置</w:t>
      </w:r>
    </w:p>
    <w:tbl>
      <w:tblPr>
        <w:tblStyle w:val="21"/>
        <w:tblW w:w="5000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6"/>
        <w:gridCol w:w="901"/>
        <w:gridCol w:w="4101"/>
        <w:gridCol w:w="255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 w:cs="仿宋"/>
                <w:b/>
                <w:sz w:val="24"/>
              </w:rPr>
            </w:pPr>
            <w:r>
              <w:rPr>
                <w:rFonts w:hint="eastAsia" w:ascii="Times New Roman" w:hAnsi="Times New Roman" w:eastAsia="仿宋" w:cs="仿宋"/>
                <w:b/>
                <w:sz w:val="24"/>
              </w:rPr>
              <w:t>序号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 w:cs="仿宋"/>
                <w:b/>
                <w:sz w:val="24"/>
              </w:rPr>
            </w:pPr>
            <w:r>
              <w:rPr>
                <w:rFonts w:hint="eastAsia" w:ascii="Times New Roman" w:hAnsi="Times New Roman" w:eastAsia="仿宋" w:cs="仿宋"/>
                <w:b/>
                <w:sz w:val="24"/>
              </w:rPr>
              <w:t>城市</w:t>
            </w:r>
          </w:p>
        </w:tc>
        <w:tc>
          <w:tcPr>
            <w:tcW w:w="2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 w:cs="仿宋"/>
                <w:b/>
                <w:sz w:val="24"/>
              </w:rPr>
            </w:pPr>
            <w:r>
              <w:rPr>
                <w:rFonts w:hint="eastAsia" w:ascii="Times New Roman" w:hAnsi="Times New Roman" w:eastAsia="仿宋" w:cs="仿宋"/>
                <w:b/>
                <w:sz w:val="24"/>
              </w:rPr>
              <w:t>考点学校</w:t>
            </w:r>
          </w:p>
        </w:tc>
        <w:tc>
          <w:tcPr>
            <w:tcW w:w="1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仿宋" w:cs="仿宋"/>
                <w:b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 w:cs="仿宋"/>
                <w:b/>
                <w:sz w:val="24"/>
                <w:lang w:val="en-US" w:eastAsia="zh-CN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1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南京</w:t>
            </w:r>
          </w:p>
        </w:tc>
        <w:tc>
          <w:tcPr>
            <w:tcW w:w="2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江苏省溧水中等专业学校</w:t>
            </w:r>
          </w:p>
        </w:tc>
        <w:tc>
          <w:tcPr>
            <w:tcW w:w="1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仅种植方向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2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南京</w:t>
            </w:r>
          </w:p>
        </w:tc>
        <w:tc>
          <w:tcPr>
            <w:tcW w:w="2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南京江宁中等专业学校</w:t>
            </w:r>
          </w:p>
        </w:tc>
        <w:tc>
          <w:tcPr>
            <w:tcW w:w="1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仅种植方向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3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徐州</w:t>
            </w:r>
          </w:p>
        </w:tc>
        <w:tc>
          <w:tcPr>
            <w:tcW w:w="2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江苏省徐州市张集中等专业学校</w:t>
            </w:r>
          </w:p>
        </w:tc>
        <w:tc>
          <w:tcPr>
            <w:tcW w:w="1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仅种植方向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4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南通</w:t>
            </w:r>
          </w:p>
        </w:tc>
        <w:tc>
          <w:tcPr>
            <w:tcW w:w="2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江苏省如皋中等专业学校</w:t>
            </w:r>
          </w:p>
        </w:tc>
        <w:tc>
          <w:tcPr>
            <w:tcW w:w="1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仅种植方向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5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南通</w:t>
            </w:r>
          </w:p>
        </w:tc>
        <w:tc>
          <w:tcPr>
            <w:tcW w:w="2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江苏省如皋第一中等专业学校</w:t>
            </w:r>
          </w:p>
        </w:tc>
        <w:tc>
          <w:tcPr>
            <w:tcW w:w="1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仅种植方向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6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淮安</w:t>
            </w:r>
          </w:p>
        </w:tc>
        <w:tc>
          <w:tcPr>
            <w:tcW w:w="2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淮安生物工程高等职业学校</w:t>
            </w:r>
          </w:p>
        </w:tc>
        <w:tc>
          <w:tcPr>
            <w:tcW w:w="1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种植方向和养殖方向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7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盐城</w:t>
            </w:r>
          </w:p>
        </w:tc>
        <w:tc>
          <w:tcPr>
            <w:tcW w:w="2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盐城生物工程高等职业技术学校</w:t>
            </w:r>
          </w:p>
        </w:tc>
        <w:tc>
          <w:tcPr>
            <w:tcW w:w="1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种植方向和养殖方向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8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镇江</w:t>
            </w:r>
          </w:p>
        </w:tc>
        <w:tc>
          <w:tcPr>
            <w:tcW w:w="2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江苏农林职业技术学院</w:t>
            </w:r>
          </w:p>
        </w:tc>
        <w:tc>
          <w:tcPr>
            <w:tcW w:w="1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种植方向和养殖方向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9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镇江</w:t>
            </w:r>
          </w:p>
        </w:tc>
        <w:tc>
          <w:tcPr>
            <w:tcW w:w="2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江苏省句容中等专业学校</w:t>
            </w:r>
          </w:p>
        </w:tc>
        <w:tc>
          <w:tcPr>
            <w:tcW w:w="1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仅种植方向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10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泰州</w:t>
            </w:r>
          </w:p>
        </w:tc>
        <w:tc>
          <w:tcPr>
            <w:tcW w:w="2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江苏农牧科技职业学院</w:t>
            </w:r>
          </w:p>
        </w:tc>
        <w:tc>
          <w:tcPr>
            <w:tcW w:w="1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种植方向和养殖方向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11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宿迁</w:t>
            </w:r>
          </w:p>
        </w:tc>
        <w:tc>
          <w:tcPr>
            <w:tcW w:w="2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江苏省泗阳中等专业学校</w:t>
            </w:r>
          </w:p>
        </w:tc>
        <w:tc>
          <w:tcPr>
            <w:tcW w:w="1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仅种植方向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1</w:t>
            </w:r>
            <w:r>
              <w:rPr>
                <w:rFonts w:ascii="Times New Roman" w:hAnsi="Times New Roman" w:eastAsia="仿宋" w:cs="仿宋"/>
                <w:sz w:val="24"/>
              </w:rPr>
              <w:t>2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无锡</w:t>
            </w:r>
          </w:p>
        </w:tc>
        <w:tc>
          <w:tcPr>
            <w:tcW w:w="2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江阴市华姿中等专业学校</w:t>
            </w:r>
          </w:p>
        </w:tc>
        <w:tc>
          <w:tcPr>
            <w:tcW w:w="1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仅种植方向</w:t>
            </w:r>
          </w:p>
        </w:tc>
      </w:tr>
    </w:tbl>
    <w:p>
      <w:pPr>
        <w:snapToGrid w:val="0"/>
        <w:spacing w:line="560" w:lineRule="exact"/>
        <w:ind w:firstLine="560" w:firstLineChars="200"/>
        <w:outlineLvl w:val="1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注：尚未建标准化考点的学校，可依托校内实训室开展2021年专业基本技能考试。</w:t>
      </w:r>
    </w:p>
    <w:bookmarkEnd w:id="0"/>
    <w:p>
      <w:pPr>
        <w:snapToGrid w:val="0"/>
        <w:spacing w:line="560" w:lineRule="exact"/>
        <w:ind w:firstLine="640" w:firstLineChars="200"/>
        <w:outlineLvl w:val="1"/>
        <w:rPr>
          <w:rFonts w:ascii="Times New Roman" w:hAnsi="Times New Roman" w:eastAsia="楷体" w:cs="楷体"/>
          <w:kern w:val="0"/>
          <w:sz w:val="32"/>
          <w:szCs w:val="32"/>
        </w:rPr>
      </w:pPr>
      <w:r>
        <w:rPr>
          <w:rFonts w:hint="eastAsia" w:ascii="Times New Roman" w:hAnsi="Times New Roman" w:eastAsia="楷体" w:cs="楷体"/>
          <w:kern w:val="0"/>
          <w:sz w:val="32"/>
          <w:szCs w:val="32"/>
        </w:rPr>
        <w:t>（二）考试组织</w:t>
      </w:r>
    </w:p>
    <w:p>
      <w:pPr>
        <w:snapToGrid w:val="0"/>
        <w:spacing w:line="560" w:lineRule="exact"/>
        <w:ind w:firstLine="640" w:firstLineChars="200"/>
        <w:rPr>
          <w:rFonts w:ascii="Times New Roman" w:hAnsi="Times New Roman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" w:cs="仿宋"/>
          <w:bCs/>
          <w:color w:val="000000"/>
          <w:kern w:val="0"/>
          <w:sz w:val="32"/>
          <w:szCs w:val="32"/>
        </w:rPr>
        <w:t>省教育考试院和省中职学考办公室负责考务组织管理与协调工作，各市教育行政部门、招考系统负责具体实施。专业委员会负责协调本专业类有关考点院校，协同各设区市教育行政部门、招考部门完成本专业类专业技能考试。考点学校应组建技术团队，加强考试平台维护，确保正常运行。</w:t>
      </w:r>
    </w:p>
    <w:p>
      <w:pPr>
        <w:snapToGrid w:val="0"/>
        <w:spacing w:line="560" w:lineRule="exact"/>
        <w:ind w:firstLine="640" w:firstLineChars="200"/>
        <w:outlineLvl w:val="1"/>
        <w:rPr>
          <w:rFonts w:ascii="Times New Roman" w:hAnsi="Times New Roman" w:eastAsia="楷体" w:cs="楷体"/>
          <w:kern w:val="0"/>
          <w:sz w:val="32"/>
          <w:szCs w:val="32"/>
        </w:rPr>
      </w:pPr>
      <w:r>
        <w:rPr>
          <w:rFonts w:hint="eastAsia" w:ascii="Times New Roman" w:hAnsi="Times New Roman" w:eastAsia="楷体" w:cs="楷体"/>
          <w:kern w:val="0"/>
          <w:sz w:val="32"/>
          <w:szCs w:val="32"/>
        </w:rPr>
        <w:t>（三）考场安排</w:t>
      </w:r>
    </w:p>
    <w:p>
      <w:pPr>
        <w:snapToGrid w:val="0"/>
        <w:spacing w:line="560" w:lineRule="exact"/>
        <w:ind w:firstLine="640" w:firstLineChars="200"/>
        <w:rPr>
          <w:rFonts w:ascii="Times New Roman" w:hAnsi="Times New Roman" w:eastAsia="仿宋" w:cs="仿宋"/>
          <w:kern w:val="0"/>
          <w:sz w:val="32"/>
          <w:szCs w:val="32"/>
        </w:rPr>
      </w:pPr>
      <w:r>
        <w:rPr>
          <w:rFonts w:hint="eastAsia" w:ascii="Times New Roman" w:hAnsi="Times New Roman" w:eastAsia="仿宋" w:cs="仿宋"/>
          <w:kern w:val="0"/>
          <w:sz w:val="32"/>
          <w:szCs w:val="32"/>
        </w:rPr>
        <w:t>“常见植物和病虫害识别”和“动物品种及饲料原料识别”项目安排在标准化机房考试，每个机房设置30个工位，满足每场25人同时考试。其余项目安排在技能标准化考场，每个考场提供30个工位，满足每场25人同时考试。</w:t>
      </w:r>
    </w:p>
    <w:p>
      <w:pPr>
        <w:snapToGrid w:val="0"/>
        <w:spacing w:line="560" w:lineRule="exact"/>
        <w:ind w:firstLine="640" w:firstLineChars="200"/>
        <w:outlineLvl w:val="1"/>
        <w:rPr>
          <w:rFonts w:ascii="Times New Roman" w:hAnsi="Times New Roman" w:eastAsia="楷体" w:cs="楷体"/>
          <w:kern w:val="0"/>
          <w:sz w:val="32"/>
          <w:szCs w:val="32"/>
        </w:rPr>
      </w:pPr>
      <w:r>
        <w:rPr>
          <w:rFonts w:hint="eastAsia" w:ascii="Times New Roman" w:hAnsi="Times New Roman" w:eastAsia="楷体" w:cs="楷体"/>
          <w:kern w:val="0"/>
          <w:sz w:val="32"/>
          <w:szCs w:val="32"/>
        </w:rPr>
        <w:t>（四）评分方式</w:t>
      </w:r>
    </w:p>
    <w:p>
      <w:pPr>
        <w:snapToGrid w:val="0"/>
        <w:spacing w:line="560" w:lineRule="exact"/>
        <w:ind w:firstLine="640" w:firstLineChars="200"/>
        <w:rPr>
          <w:rFonts w:ascii="Times New Roman" w:hAnsi="Times New Roman" w:eastAsia="仿宋" w:cs="仿宋"/>
          <w:kern w:val="0"/>
          <w:sz w:val="32"/>
          <w:szCs w:val="32"/>
        </w:rPr>
      </w:pPr>
      <w:r>
        <w:rPr>
          <w:rFonts w:hint="eastAsia" w:ascii="Times New Roman" w:hAnsi="Times New Roman" w:eastAsia="仿宋" w:cs="仿宋"/>
          <w:kern w:val="0"/>
          <w:sz w:val="32"/>
          <w:szCs w:val="32"/>
        </w:rPr>
        <w:t>“常见植物和病虫害识别”和“动物品种及饲料原料识别”项目通过信息化综合实训平台进行考试，系统自动评分，考试期间，安排2名监考老师，1名网络维护人员。其余项目分别安排5名考评员，由考评员现场评分。</w:t>
      </w:r>
    </w:p>
    <w:p>
      <w:pPr>
        <w:snapToGrid w:val="0"/>
        <w:spacing w:line="560" w:lineRule="exact"/>
        <w:ind w:firstLine="640" w:firstLineChars="200"/>
        <w:outlineLvl w:val="0"/>
        <w:rPr>
          <w:rFonts w:ascii="Times New Roman" w:hAnsi="Times New Roman" w:eastAsia="黑体" w:cs="黑体"/>
          <w:bCs/>
          <w:kern w:val="0"/>
          <w:sz w:val="32"/>
          <w:szCs w:val="32"/>
        </w:rPr>
      </w:pPr>
      <w:r>
        <w:rPr>
          <w:rFonts w:hint="eastAsia" w:ascii="Times New Roman" w:hAnsi="Times New Roman" w:eastAsia="黑体" w:cs="黑体"/>
          <w:bCs/>
          <w:kern w:val="0"/>
          <w:sz w:val="32"/>
          <w:szCs w:val="32"/>
        </w:rPr>
        <w:t>五、考点设备配置要求</w:t>
      </w:r>
    </w:p>
    <w:p>
      <w:pPr>
        <w:snapToGrid w:val="0"/>
        <w:spacing w:line="560" w:lineRule="exact"/>
        <w:ind w:firstLine="640" w:firstLineChars="200"/>
        <w:rPr>
          <w:rFonts w:ascii="Times New Roman" w:hAnsi="Times New Roman" w:eastAsia="仿宋" w:cs="仿宋"/>
          <w:kern w:val="0"/>
          <w:sz w:val="32"/>
          <w:szCs w:val="32"/>
        </w:rPr>
      </w:pPr>
      <w:r>
        <w:rPr>
          <w:rFonts w:hint="eastAsia" w:ascii="Times New Roman" w:hAnsi="Times New Roman" w:eastAsia="仿宋" w:cs="仿宋"/>
          <w:kern w:val="0"/>
          <w:sz w:val="32"/>
          <w:szCs w:val="32"/>
        </w:rPr>
        <w:t>详见江苏省中等职业学校学业水平考试种植类、养殖类技能考试考点建设标准（试行），其中项目仪器设备与材料每个工位</w:t>
      </w:r>
      <w:r>
        <w:rPr>
          <w:rFonts w:ascii="Times New Roman" w:hAnsi="Times New Roman" w:eastAsia="仿宋" w:cs="仿宋"/>
          <w:kern w:val="0"/>
          <w:sz w:val="32"/>
          <w:szCs w:val="32"/>
        </w:rPr>
        <w:t>1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套，每生</w:t>
      </w:r>
      <w:r>
        <w:rPr>
          <w:rFonts w:ascii="Times New Roman" w:hAnsi="Times New Roman" w:eastAsia="仿宋" w:cs="仿宋"/>
          <w:kern w:val="0"/>
          <w:sz w:val="32"/>
          <w:szCs w:val="32"/>
        </w:rPr>
        <w:t>1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个工位，工位设置如下。</w:t>
      </w:r>
    </w:p>
    <w:p>
      <w:pPr>
        <w:spacing w:line="360" w:lineRule="auto"/>
        <w:ind w:firstLine="640" w:firstLineChars="200"/>
        <w:outlineLvl w:val="1"/>
        <w:rPr>
          <w:rFonts w:ascii="Times New Roman" w:hAnsi="Times New Roman" w:eastAsia="楷体" w:cs="楷体"/>
          <w:kern w:val="0"/>
          <w:sz w:val="32"/>
          <w:szCs w:val="32"/>
        </w:rPr>
      </w:pPr>
      <w:r>
        <w:rPr>
          <w:rFonts w:hint="eastAsia" w:ascii="Times New Roman" w:hAnsi="Times New Roman" w:eastAsia="楷体" w:cs="楷体"/>
          <w:kern w:val="0"/>
          <w:sz w:val="32"/>
          <w:szCs w:val="32"/>
        </w:rPr>
        <w:t>（一）常见植物和病虫害识别</w:t>
      </w:r>
    </w:p>
    <w:tbl>
      <w:tblPr>
        <w:tblStyle w:val="21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0"/>
        <w:gridCol w:w="2502"/>
        <w:gridCol w:w="5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" w:hRule="atLeast"/>
          <w:jc w:val="center"/>
        </w:trPr>
        <w:tc>
          <w:tcPr>
            <w:tcW w:w="575" w:type="pct"/>
          </w:tcPr>
          <w:p>
            <w:pPr>
              <w:spacing w:line="360" w:lineRule="exact"/>
              <w:jc w:val="center"/>
              <w:rPr>
                <w:rFonts w:ascii="Times New Roman" w:hAnsi="Times New Roman" w:eastAsia="仿宋" w:cs="仿宋"/>
                <w:b/>
                <w:sz w:val="24"/>
              </w:rPr>
            </w:pPr>
            <w:r>
              <w:rPr>
                <w:rFonts w:hint="eastAsia" w:ascii="Times New Roman" w:hAnsi="Times New Roman" w:eastAsia="仿宋" w:cs="仿宋"/>
                <w:b/>
                <w:sz w:val="24"/>
              </w:rPr>
              <w:t>序号</w:t>
            </w:r>
          </w:p>
        </w:tc>
        <w:tc>
          <w:tcPr>
            <w:tcW w:w="1468" w:type="pc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 w:cs="仿宋"/>
                <w:b/>
                <w:sz w:val="24"/>
              </w:rPr>
            </w:pPr>
            <w:r>
              <w:rPr>
                <w:rFonts w:hint="eastAsia" w:ascii="Times New Roman" w:hAnsi="Times New Roman" w:eastAsia="仿宋" w:cs="仿宋"/>
                <w:b/>
                <w:sz w:val="24"/>
              </w:rPr>
              <w:t>设备</w:t>
            </w:r>
          </w:p>
        </w:tc>
        <w:tc>
          <w:tcPr>
            <w:tcW w:w="2957" w:type="pc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 w:cs="仿宋"/>
                <w:b/>
                <w:sz w:val="24"/>
              </w:rPr>
            </w:pPr>
            <w:r>
              <w:rPr>
                <w:rFonts w:hint="eastAsia" w:ascii="Times New Roman" w:hAnsi="Times New Roman" w:eastAsia="仿宋" w:cs="仿宋"/>
                <w:b/>
                <w:sz w:val="24"/>
              </w:rPr>
              <w:t>规格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" w:hRule="atLeast"/>
          <w:jc w:val="center"/>
        </w:trPr>
        <w:tc>
          <w:tcPr>
            <w:tcW w:w="575" w:type="pct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1</w:t>
            </w:r>
          </w:p>
        </w:tc>
        <w:tc>
          <w:tcPr>
            <w:tcW w:w="146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处理器（CPU）</w:t>
            </w:r>
          </w:p>
        </w:tc>
        <w:tc>
          <w:tcPr>
            <w:tcW w:w="295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主频≥2.0GHz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  <w:jc w:val="center"/>
        </w:trPr>
        <w:tc>
          <w:tcPr>
            <w:tcW w:w="575" w:type="pct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2</w:t>
            </w:r>
          </w:p>
        </w:tc>
        <w:tc>
          <w:tcPr>
            <w:tcW w:w="146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内存</w:t>
            </w:r>
          </w:p>
        </w:tc>
        <w:tc>
          <w:tcPr>
            <w:tcW w:w="295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≥4GB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  <w:jc w:val="center"/>
        </w:trPr>
        <w:tc>
          <w:tcPr>
            <w:tcW w:w="575" w:type="pct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3</w:t>
            </w:r>
          </w:p>
        </w:tc>
        <w:tc>
          <w:tcPr>
            <w:tcW w:w="146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硬盘</w:t>
            </w:r>
          </w:p>
        </w:tc>
        <w:tc>
          <w:tcPr>
            <w:tcW w:w="295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容量≥500G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575" w:type="pct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4</w:t>
            </w:r>
          </w:p>
        </w:tc>
        <w:tc>
          <w:tcPr>
            <w:tcW w:w="146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显示器</w:t>
            </w:r>
          </w:p>
        </w:tc>
        <w:tc>
          <w:tcPr>
            <w:tcW w:w="295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尺寸≥19英寸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575" w:type="pct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5</w:t>
            </w:r>
          </w:p>
        </w:tc>
        <w:tc>
          <w:tcPr>
            <w:tcW w:w="146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操作系统</w:t>
            </w:r>
          </w:p>
        </w:tc>
        <w:tc>
          <w:tcPr>
            <w:tcW w:w="295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Windows7及以上版本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575" w:type="pct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6</w:t>
            </w:r>
          </w:p>
        </w:tc>
        <w:tc>
          <w:tcPr>
            <w:tcW w:w="146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考核平台</w:t>
            </w:r>
          </w:p>
        </w:tc>
        <w:tc>
          <w:tcPr>
            <w:tcW w:w="295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信息化综合考核平台（客户端）</w:t>
            </w:r>
          </w:p>
        </w:tc>
      </w:tr>
    </w:tbl>
    <w:p>
      <w:pPr>
        <w:spacing w:line="360" w:lineRule="auto"/>
        <w:ind w:firstLine="640" w:firstLineChars="200"/>
        <w:outlineLvl w:val="1"/>
        <w:rPr>
          <w:rFonts w:ascii="Times New Roman" w:hAnsi="Times New Roman" w:eastAsia="楷体" w:cs="楷体"/>
          <w:kern w:val="0"/>
          <w:sz w:val="32"/>
          <w:szCs w:val="32"/>
        </w:rPr>
      </w:pPr>
      <w:r>
        <w:rPr>
          <w:rFonts w:hint="eastAsia" w:ascii="Times New Roman" w:hAnsi="Times New Roman" w:eastAsia="楷体" w:cs="楷体"/>
          <w:kern w:val="0"/>
          <w:sz w:val="32"/>
          <w:szCs w:val="32"/>
        </w:rPr>
        <w:t>（二）动物品种及饲料原料识别</w:t>
      </w:r>
    </w:p>
    <w:tbl>
      <w:tblPr>
        <w:tblStyle w:val="21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0"/>
        <w:gridCol w:w="2503"/>
        <w:gridCol w:w="5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" w:hRule="atLeast"/>
          <w:jc w:val="center"/>
        </w:trPr>
        <w:tc>
          <w:tcPr>
            <w:tcW w:w="575" w:type="pct"/>
          </w:tcPr>
          <w:p>
            <w:pPr>
              <w:spacing w:line="360" w:lineRule="exact"/>
              <w:jc w:val="center"/>
              <w:rPr>
                <w:rFonts w:ascii="Times New Roman" w:hAnsi="Times New Roman" w:eastAsia="仿宋" w:cs="仿宋"/>
                <w:b/>
                <w:sz w:val="24"/>
              </w:rPr>
            </w:pPr>
            <w:r>
              <w:rPr>
                <w:rFonts w:hint="eastAsia" w:ascii="Times New Roman" w:hAnsi="Times New Roman" w:eastAsia="仿宋" w:cs="仿宋"/>
                <w:b/>
                <w:sz w:val="24"/>
              </w:rPr>
              <w:t>序号</w:t>
            </w:r>
          </w:p>
        </w:tc>
        <w:tc>
          <w:tcPr>
            <w:tcW w:w="1468" w:type="pc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 w:cs="仿宋"/>
                <w:b/>
                <w:sz w:val="24"/>
              </w:rPr>
            </w:pPr>
            <w:r>
              <w:rPr>
                <w:rFonts w:hint="eastAsia" w:ascii="Times New Roman" w:hAnsi="Times New Roman" w:eastAsia="仿宋" w:cs="仿宋"/>
                <w:b/>
                <w:sz w:val="24"/>
              </w:rPr>
              <w:t>设备</w:t>
            </w:r>
          </w:p>
        </w:tc>
        <w:tc>
          <w:tcPr>
            <w:tcW w:w="2956" w:type="pc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 w:cs="仿宋"/>
                <w:b/>
                <w:sz w:val="24"/>
              </w:rPr>
            </w:pPr>
            <w:r>
              <w:rPr>
                <w:rFonts w:hint="eastAsia" w:ascii="Times New Roman" w:hAnsi="Times New Roman" w:eastAsia="仿宋" w:cs="仿宋"/>
                <w:b/>
                <w:sz w:val="24"/>
              </w:rPr>
              <w:t>规格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" w:hRule="atLeast"/>
          <w:jc w:val="center"/>
        </w:trPr>
        <w:tc>
          <w:tcPr>
            <w:tcW w:w="575" w:type="pct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1</w:t>
            </w:r>
          </w:p>
        </w:tc>
        <w:tc>
          <w:tcPr>
            <w:tcW w:w="146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处理器（CPU）</w:t>
            </w:r>
          </w:p>
        </w:tc>
        <w:tc>
          <w:tcPr>
            <w:tcW w:w="295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主频≥2.0GHz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  <w:jc w:val="center"/>
        </w:trPr>
        <w:tc>
          <w:tcPr>
            <w:tcW w:w="575" w:type="pct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2</w:t>
            </w:r>
          </w:p>
        </w:tc>
        <w:tc>
          <w:tcPr>
            <w:tcW w:w="146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内存</w:t>
            </w:r>
          </w:p>
        </w:tc>
        <w:tc>
          <w:tcPr>
            <w:tcW w:w="295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≥4GB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  <w:jc w:val="center"/>
        </w:trPr>
        <w:tc>
          <w:tcPr>
            <w:tcW w:w="575" w:type="pct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3</w:t>
            </w:r>
          </w:p>
        </w:tc>
        <w:tc>
          <w:tcPr>
            <w:tcW w:w="146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硬盘</w:t>
            </w:r>
          </w:p>
        </w:tc>
        <w:tc>
          <w:tcPr>
            <w:tcW w:w="295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容量≥500G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575" w:type="pct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4</w:t>
            </w:r>
          </w:p>
        </w:tc>
        <w:tc>
          <w:tcPr>
            <w:tcW w:w="146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显示器</w:t>
            </w:r>
          </w:p>
        </w:tc>
        <w:tc>
          <w:tcPr>
            <w:tcW w:w="295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尺寸≥19英寸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575" w:type="pct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5</w:t>
            </w:r>
          </w:p>
        </w:tc>
        <w:tc>
          <w:tcPr>
            <w:tcW w:w="146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操作系统</w:t>
            </w:r>
          </w:p>
        </w:tc>
        <w:tc>
          <w:tcPr>
            <w:tcW w:w="295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Windows7及以上版本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575" w:type="pct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6</w:t>
            </w:r>
          </w:p>
        </w:tc>
        <w:tc>
          <w:tcPr>
            <w:tcW w:w="146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考核平台</w:t>
            </w:r>
          </w:p>
        </w:tc>
        <w:tc>
          <w:tcPr>
            <w:tcW w:w="295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信息化综合考核平台（客户端）</w:t>
            </w:r>
          </w:p>
        </w:tc>
      </w:tr>
    </w:tbl>
    <w:p>
      <w:pPr>
        <w:spacing w:line="560" w:lineRule="exact"/>
        <w:ind w:firstLine="640" w:firstLineChars="200"/>
        <w:outlineLvl w:val="1"/>
        <w:rPr>
          <w:rFonts w:ascii="Times New Roman" w:hAnsi="Times New Roman" w:eastAsia="楷体" w:cs="楷体"/>
          <w:kern w:val="0"/>
          <w:sz w:val="32"/>
          <w:szCs w:val="32"/>
        </w:rPr>
      </w:pPr>
      <w:r>
        <w:rPr>
          <w:rFonts w:hint="eastAsia" w:ascii="Times New Roman" w:hAnsi="Times New Roman" w:eastAsia="楷体" w:cs="楷体"/>
          <w:kern w:val="0"/>
          <w:sz w:val="32"/>
          <w:szCs w:val="32"/>
        </w:rPr>
        <w:t>（三）土壤pH值测定</w:t>
      </w:r>
    </w:p>
    <w:tbl>
      <w:tblPr>
        <w:tblStyle w:val="21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2040"/>
        <w:gridCol w:w="2603"/>
        <w:gridCol w:w="723"/>
        <w:gridCol w:w="723"/>
        <w:gridCol w:w="17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424" w:type="pc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 w:cs="仿宋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b/>
                <w:color w:val="000000"/>
                <w:sz w:val="24"/>
              </w:rPr>
              <w:t>序号</w:t>
            </w:r>
          </w:p>
        </w:tc>
        <w:tc>
          <w:tcPr>
            <w:tcW w:w="1197" w:type="pc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 w:cs="仿宋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b/>
                <w:color w:val="000000"/>
                <w:sz w:val="24"/>
              </w:rPr>
              <w:t>器材名称</w:t>
            </w:r>
          </w:p>
        </w:tc>
        <w:tc>
          <w:tcPr>
            <w:tcW w:w="1527" w:type="pc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 w:cs="仿宋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b/>
                <w:color w:val="000000"/>
                <w:sz w:val="24"/>
              </w:rPr>
              <w:t>规格</w:t>
            </w:r>
          </w:p>
        </w:tc>
        <w:tc>
          <w:tcPr>
            <w:tcW w:w="424" w:type="pc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 w:cs="仿宋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b/>
                <w:color w:val="000000"/>
                <w:sz w:val="24"/>
              </w:rPr>
              <w:t>数量</w:t>
            </w:r>
          </w:p>
        </w:tc>
        <w:tc>
          <w:tcPr>
            <w:tcW w:w="424" w:type="pc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 w:cs="仿宋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b/>
                <w:color w:val="000000"/>
                <w:sz w:val="24"/>
              </w:rPr>
              <w:t>单位</w:t>
            </w:r>
          </w:p>
        </w:tc>
        <w:tc>
          <w:tcPr>
            <w:tcW w:w="1004" w:type="pc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 w:cs="仿宋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b/>
                <w:color w:val="00000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5" w:hRule="atLeast"/>
          <w:jc w:val="center"/>
        </w:trPr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1</w:t>
            </w:r>
          </w:p>
        </w:tc>
        <w:tc>
          <w:tcPr>
            <w:tcW w:w="119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土壤样品</w:t>
            </w:r>
          </w:p>
        </w:tc>
        <w:tc>
          <w:tcPr>
            <w:tcW w:w="152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500克（18目）</w:t>
            </w:r>
          </w:p>
        </w:tc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1</w:t>
            </w:r>
          </w:p>
        </w:tc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瓶</w:t>
            </w:r>
          </w:p>
        </w:tc>
        <w:tc>
          <w:tcPr>
            <w:tcW w:w="100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具塞广口瓶装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2</w:t>
            </w:r>
          </w:p>
        </w:tc>
        <w:tc>
          <w:tcPr>
            <w:tcW w:w="119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pH计</w:t>
            </w:r>
          </w:p>
        </w:tc>
        <w:tc>
          <w:tcPr>
            <w:tcW w:w="152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0.01（pHS-3C）</w:t>
            </w:r>
          </w:p>
        </w:tc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1</w:t>
            </w:r>
          </w:p>
        </w:tc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台</w:t>
            </w:r>
          </w:p>
        </w:tc>
        <w:tc>
          <w:tcPr>
            <w:tcW w:w="100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3</w:t>
            </w:r>
          </w:p>
        </w:tc>
        <w:tc>
          <w:tcPr>
            <w:tcW w:w="119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pH复合电极</w:t>
            </w:r>
          </w:p>
        </w:tc>
        <w:tc>
          <w:tcPr>
            <w:tcW w:w="152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E-201-C (标配电极)</w:t>
            </w:r>
          </w:p>
        </w:tc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1</w:t>
            </w:r>
          </w:p>
        </w:tc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支</w:t>
            </w:r>
          </w:p>
        </w:tc>
        <w:tc>
          <w:tcPr>
            <w:tcW w:w="100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4</w:t>
            </w:r>
          </w:p>
        </w:tc>
        <w:tc>
          <w:tcPr>
            <w:tcW w:w="119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标准缓冲液</w:t>
            </w:r>
          </w:p>
        </w:tc>
        <w:tc>
          <w:tcPr>
            <w:tcW w:w="152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pH4.00/pH 9.18</w:t>
            </w:r>
          </w:p>
        </w:tc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1</w:t>
            </w:r>
          </w:p>
        </w:tc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套</w:t>
            </w:r>
          </w:p>
        </w:tc>
        <w:tc>
          <w:tcPr>
            <w:tcW w:w="100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根据当地土壤情况选择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5</w:t>
            </w:r>
          </w:p>
        </w:tc>
        <w:tc>
          <w:tcPr>
            <w:tcW w:w="119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标准缓冲液粉剂</w:t>
            </w:r>
          </w:p>
        </w:tc>
        <w:tc>
          <w:tcPr>
            <w:tcW w:w="152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pH 6.86</w:t>
            </w:r>
          </w:p>
        </w:tc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1</w:t>
            </w:r>
          </w:p>
        </w:tc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袋</w:t>
            </w:r>
          </w:p>
        </w:tc>
        <w:tc>
          <w:tcPr>
            <w:tcW w:w="100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6</w:t>
            </w:r>
          </w:p>
        </w:tc>
        <w:tc>
          <w:tcPr>
            <w:tcW w:w="119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温度计</w:t>
            </w:r>
          </w:p>
        </w:tc>
        <w:tc>
          <w:tcPr>
            <w:tcW w:w="152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0～100℃</w:t>
            </w:r>
          </w:p>
        </w:tc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1</w:t>
            </w:r>
          </w:p>
        </w:tc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支</w:t>
            </w:r>
          </w:p>
        </w:tc>
        <w:tc>
          <w:tcPr>
            <w:tcW w:w="100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7</w:t>
            </w:r>
          </w:p>
        </w:tc>
        <w:tc>
          <w:tcPr>
            <w:tcW w:w="119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电子天平</w:t>
            </w:r>
          </w:p>
        </w:tc>
        <w:tc>
          <w:tcPr>
            <w:tcW w:w="152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感量：0.01g</w:t>
            </w:r>
          </w:p>
        </w:tc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1</w:t>
            </w:r>
          </w:p>
        </w:tc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台</w:t>
            </w:r>
          </w:p>
        </w:tc>
        <w:tc>
          <w:tcPr>
            <w:tcW w:w="100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8</w:t>
            </w:r>
          </w:p>
        </w:tc>
        <w:tc>
          <w:tcPr>
            <w:tcW w:w="119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高型烧杯</w:t>
            </w:r>
          </w:p>
        </w:tc>
        <w:tc>
          <w:tcPr>
            <w:tcW w:w="152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50mL</w:t>
            </w:r>
          </w:p>
        </w:tc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3</w:t>
            </w:r>
          </w:p>
        </w:tc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只</w:t>
            </w:r>
          </w:p>
        </w:tc>
        <w:tc>
          <w:tcPr>
            <w:tcW w:w="100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9</w:t>
            </w:r>
          </w:p>
        </w:tc>
        <w:tc>
          <w:tcPr>
            <w:tcW w:w="119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玻璃棒</w:t>
            </w:r>
          </w:p>
        </w:tc>
        <w:tc>
          <w:tcPr>
            <w:tcW w:w="152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20cm</w:t>
            </w:r>
          </w:p>
        </w:tc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1</w:t>
            </w:r>
          </w:p>
        </w:tc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支</w:t>
            </w:r>
          </w:p>
        </w:tc>
        <w:tc>
          <w:tcPr>
            <w:tcW w:w="100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10</w:t>
            </w:r>
          </w:p>
        </w:tc>
        <w:tc>
          <w:tcPr>
            <w:tcW w:w="119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洗瓶</w:t>
            </w:r>
          </w:p>
        </w:tc>
        <w:tc>
          <w:tcPr>
            <w:tcW w:w="152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500mL</w:t>
            </w:r>
          </w:p>
        </w:tc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1</w:t>
            </w:r>
          </w:p>
        </w:tc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只</w:t>
            </w:r>
          </w:p>
        </w:tc>
        <w:tc>
          <w:tcPr>
            <w:tcW w:w="100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424" w:type="pct"/>
            <w:tcBorders>
              <w:right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11</w:t>
            </w:r>
          </w:p>
        </w:tc>
        <w:tc>
          <w:tcPr>
            <w:tcW w:w="119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容量瓶</w:t>
            </w:r>
          </w:p>
        </w:tc>
        <w:tc>
          <w:tcPr>
            <w:tcW w:w="152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250mL</w:t>
            </w:r>
          </w:p>
        </w:tc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4</w:t>
            </w:r>
          </w:p>
        </w:tc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只</w:t>
            </w:r>
          </w:p>
        </w:tc>
        <w:tc>
          <w:tcPr>
            <w:tcW w:w="100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424" w:type="pct"/>
            <w:tcBorders>
              <w:right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12</w:t>
            </w:r>
          </w:p>
        </w:tc>
        <w:tc>
          <w:tcPr>
            <w:tcW w:w="119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普通烧杯</w:t>
            </w:r>
          </w:p>
        </w:tc>
        <w:tc>
          <w:tcPr>
            <w:tcW w:w="152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50mL</w:t>
            </w:r>
          </w:p>
        </w:tc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1</w:t>
            </w:r>
          </w:p>
        </w:tc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只</w:t>
            </w:r>
          </w:p>
        </w:tc>
        <w:tc>
          <w:tcPr>
            <w:tcW w:w="100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424" w:type="pct"/>
            <w:tcBorders>
              <w:right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13</w:t>
            </w:r>
          </w:p>
        </w:tc>
        <w:tc>
          <w:tcPr>
            <w:tcW w:w="119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仿宋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bCs/>
                <w:color w:val="000000"/>
                <w:sz w:val="24"/>
              </w:rPr>
              <w:t>搪瓷方盘</w:t>
            </w:r>
          </w:p>
        </w:tc>
        <w:tc>
          <w:tcPr>
            <w:tcW w:w="152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35×50cm</w:t>
            </w:r>
          </w:p>
        </w:tc>
        <w:tc>
          <w:tcPr>
            <w:tcW w:w="424" w:type="pc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bCs/>
                <w:color w:val="000000"/>
                <w:sz w:val="24"/>
              </w:rPr>
              <w:t>1</w:t>
            </w:r>
          </w:p>
        </w:tc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bCs/>
                <w:color w:val="000000"/>
                <w:sz w:val="24"/>
              </w:rPr>
              <w:t>个</w:t>
            </w:r>
          </w:p>
        </w:tc>
        <w:tc>
          <w:tcPr>
            <w:tcW w:w="100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424" w:type="pct"/>
            <w:tcBorders>
              <w:right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14</w:t>
            </w:r>
          </w:p>
        </w:tc>
        <w:tc>
          <w:tcPr>
            <w:tcW w:w="119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吸水纸</w:t>
            </w:r>
          </w:p>
        </w:tc>
        <w:tc>
          <w:tcPr>
            <w:tcW w:w="152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卷纸</w:t>
            </w:r>
          </w:p>
        </w:tc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1</w:t>
            </w:r>
          </w:p>
        </w:tc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卷</w:t>
            </w:r>
          </w:p>
        </w:tc>
        <w:tc>
          <w:tcPr>
            <w:tcW w:w="100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424" w:type="pct"/>
            <w:tcBorders>
              <w:right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15</w:t>
            </w:r>
          </w:p>
        </w:tc>
        <w:tc>
          <w:tcPr>
            <w:tcW w:w="119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标签纸</w:t>
            </w:r>
          </w:p>
        </w:tc>
        <w:tc>
          <w:tcPr>
            <w:tcW w:w="152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不干胶</w:t>
            </w:r>
          </w:p>
        </w:tc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1</w:t>
            </w:r>
          </w:p>
        </w:tc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张</w:t>
            </w:r>
          </w:p>
        </w:tc>
        <w:tc>
          <w:tcPr>
            <w:tcW w:w="100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424" w:type="pct"/>
            <w:tcBorders>
              <w:right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1</w:t>
            </w:r>
            <w:r>
              <w:rPr>
                <w:rFonts w:ascii="Times New Roman" w:hAnsi="Times New Roman" w:eastAsia="仿宋" w:cs="仿宋"/>
                <w:color w:val="000000"/>
                <w:sz w:val="24"/>
              </w:rPr>
              <w:t>6</w:t>
            </w:r>
          </w:p>
        </w:tc>
        <w:tc>
          <w:tcPr>
            <w:tcW w:w="119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记号笔</w:t>
            </w:r>
          </w:p>
        </w:tc>
        <w:tc>
          <w:tcPr>
            <w:tcW w:w="152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普通</w:t>
            </w:r>
          </w:p>
        </w:tc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1</w:t>
            </w:r>
          </w:p>
        </w:tc>
        <w:tc>
          <w:tcPr>
            <w:tcW w:w="4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支</w:t>
            </w:r>
          </w:p>
        </w:tc>
        <w:tc>
          <w:tcPr>
            <w:tcW w:w="100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</w:p>
        </w:tc>
      </w:tr>
    </w:tbl>
    <w:p>
      <w:pPr>
        <w:spacing w:line="360" w:lineRule="auto"/>
        <w:ind w:firstLine="640" w:firstLineChars="200"/>
        <w:outlineLvl w:val="1"/>
        <w:rPr>
          <w:rFonts w:ascii="Times New Roman" w:hAnsi="Times New Roman" w:eastAsia="楷体" w:cs="楷体"/>
          <w:kern w:val="0"/>
          <w:sz w:val="32"/>
          <w:szCs w:val="32"/>
        </w:rPr>
      </w:pPr>
      <w:r>
        <w:rPr>
          <w:rFonts w:hint="eastAsia" w:ascii="Times New Roman" w:hAnsi="Times New Roman" w:eastAsia="楷体" w:cs="楷体"/>
          <w:kern w:val="0"/>
          <w:sz w:val="32"/>
          <w:szCs w:val="32"/>
        </w:rPr>
        <w:t>（四）注射器的使用及药物配制</w:t>
      </w:r>
    </w:p>
    <w:tbl>
      <w:tblPr>
        <w:tblStyle w:val="21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2628"/>
        <w:gridCol w:w="2183"/>
        <w:gridCol w:w="842"/>
        <w:gridCol w:w="1004"/>
        <w:gridCol w:w="1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06" w:type="pc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 w:cs="仿宋"/>
                <w:b/>
                <w:sz w:val="24"/>
              </w:rPr>
            </w:pPr>
            <w:r>
              <w:rPr>
                <w:rFonts w:hint="eastAsia" w:ascii="Times New Roman" w:hAnsi="Times New Roman" w:eastAsia="仿宋" w:cs="仿宋"/>
                <w:b/>
                <w:sz w:val="24"/>
              </w:rPr>
              <w:t>序号</w:t>
            </w:r>
          </w:p>
        </w:tc>
        <w:tc>
          <w:tcPr>
            <w:tcW w:w="1542" w:type="pc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 w:cs="仿宋"/>
                <w:b/>
                <w:sz w:val="24"/>
              </w:rPr>
            </w:pPr>
            <w:r>
              <w:rPr>
                <w:rFonts w:hint="eastAsia" w:ascii="Times New Roman" w:hAnsi="Times New Roman" w:eastAsia="仿宋" w:cs="仿宋"/>
                <w:b/>
                <w:sz w:val="24"/>
              </w:rPr>
              <w:t>器材名称</w:t>
            </w:r>
          </w:p>
        </w:tc>
        <w:tc>
          <w:tcPr>
            <w:tcW w:w="1281" w:type="pc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 w:cs="仿宋"/>
                <w:b/>
                <w:sz w:val="24"/>
              </w:rPr>
            </w:pPr>
            <w:r>
              <w:rPr>
                <w:rFonts w:hint="eastAsia" w:ascii="Times New Roman" w:hAnsi="Times New Roman" w:eastAsia="仿宋" w:cs="仿宋"/>
                <w:b/>
                <w:sz w:val="24"/>
              </w:rPr>
              <w:t>规格</w:t>
            </w:r>
          </w:p>
        </w:tc>
        <w:tc>
          <w:tcPr>
            <w:tcW w:w="494" w:type="pc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 w:cs="仿宋"/>
                <w:b/>
                <w:sz w:val="24"/>
              </w:rPr>
            </w:pPr>
            <w:r>
              <w:rPr>
                <w:rFonts w:hint="eastAsia" w:ascii="Times New Roman" w:hAnsi="Times New Roman" w:eastAsia="仿宋" w:cs="仿宋"/>
                <w:b/>
                <w:sz w:val="24"/>
              </w:rPr>
              <w:t>数量</w:t>
            </w:r>
          </w:p>
        </w:tc>
        <w:tc>
          <w:tcPr>
            <w:tcW w:w="589" w:type="pc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 w:cs="仿宋"/>
                <w:b/>
                <w:sz w:val="24"/>
              </w:rPr>
            </w:pPr>
            <w:r>
              <w:rPr>
                <w:rFonts w:hint="eastAsia" w:ascii="Times New Roman" w:hAnsi="Times New Roman" w:eastAsia="仿宋" w:cs="仿宋"/>
                <w:b/>
                <w:sz w:val="24"/>
              </w:rPr>
              <w:t>单位</w:t>
            </w:r>
          </w:p>
        </w:tc>
        <w:tc>
          <w:tcPr>
            <w:tcW w:w="588" w:type="pc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 w:cs="仿宋"/>
                <w:b/>
                <w:sz w:val="24"/>
              </w:rPr>
            </w:pPr>
            <w:r>
              <w:rPr>
                <w:rFonts w:hint="eastAsia" w:ascii="Times New Roman" w:hAnsi="Times New Roman" w:eastAsia="仿宋" w:cs="仿宋"/>
                <w:b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0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ascii="Times New Roman" w:hAnsi="Times New Roman" w:eastAsia="仿宋" w:cs="仿宋"/>
                <w:sz w:val="24"/>
              </w:rPr>
              <w:t>1</w:t>
            </w:r>
          </w:p>
        </w:tc>
        <w:tc>
          <w:tcPr>
            <w:tcW w:w="154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金属注射器</w:t>
            </w:r>
          </w:p>
        </w:tc>
        <w:tc>
          <w:tcPr>
            <w:tcW w:w="128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20mL</w:t>
            </w:r>
          </w:p>
        </w:tc>
        <w:tc>
          <w:tcPr>
            <w:tcW w:w="49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1</w:t>
            </w:r>
          </w:p>
        </w:tc>
        <w:tc>
          <w:tcPr>
            <w:tcW w:w="58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只</w:t>
            </w:r>
          </w:p>
        </w:tc>
        <w:tc>
          <w:tcPr>
            <w:tcW w:w="58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0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ascii="Times New Roman" w:hAnsi="Times New Roman" w:eastAsia="仿宋" w:cs="仿宋"/>
                <w:sz w:val="24"/>
              </w:rPr>
              <w:t>2</w:t>
            </w:r>
          </w:p>
        </w:tc>
        <w:tc>
          <w:tcPr>
            <w:tcW w:w="154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一次性注射器</w:t>
            </w:r>
          </w:p>
        </w:tc>
        <w:tc>
          <w:tcPr>
            <w:tcW w:w="1281" w:type="pc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" w:cs="仿宋"/>
                <w:bCs/>
                <w:color w:val="000000"/>
                <w:sz w:val="24"/>
              </w:rPr>
              <w:t>5</w:t>
            </w:r>
            <w:r>
              <w:rPr>
                <w:rFonts w:hint="eastAsia" w:ascii="Times New Roman" w:hAnsi="Times New Roman" w:eastAsia="仿宋" w:cs="仿宋"/>
                <w:bCs/>
                <w:color w:val="000000"/>
                <w:sz w:val="24"/>
              </w:rPr>
              <w:t>mL</w:t>
            </w:r>
          </w:p>
        </w:tc>
        <w:tc>
          <w:tcPr>
            <w:tcW w:w="494" w:type="pc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bCs/>
                <w:color w:val="000000"/>
                <w:sz w:val="24"/>
              </w:rPr>
              <w:t>1</w:t>
            </w:r>
          </w:p>
        </w:tc>
        <w:tc>
          <w:tcPr>
            <w:tcW w:w="58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bCs/>
                <w:color w:val="000000"/>
                <w:sz w:val="24"/>
              </w:rPr>
              <w:t>只</w:t>
            </w:r>
          </w:p>
        </w:tc>
        <w:tc>
          <w:tcPr>
            <w:tcW w:w="58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0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ascii="Times New Roman" w:hAnsi="Times New Roman" w:eastAsia="仿宋" w:cs="仿宋"/>
                <w:sz w:val="24"/>
              </w:rPr>
              <w:t>3</w:t>
            </w:r>
          </w:p>
        </w:tc>
        <w:tc>
          <w:tcPr>
            <w:tcW w:w="154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针头</w:t>
            </w:r>
          </w:p>
        </w:tc>
        <w:tc>
          <w:tcPr>
            <w:tcW w:w="128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12号、7号</w:t>
            </w:r>
          </w:p>
        </w:tc>
        <w:tc>
          <w:tcPr>
            <w:tcW w:w="49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2</w:t>
            </w:r>
          </w:p>
        </w:tc>
        <w:tc>
          <w:tcPr>
            <w:tcW w:w="58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根</w:t>
            </w:r>
          </w:p>
        </w:tc>
        <w:tc>
          <w:tcPr>
            <w:tcW w:w="58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0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4</w:t>
            </w:r>
          </w:p>
        </w:tc>
        <w:tc>
          <w:tcPr>
            <w:tcW w:w="154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烧杯</w:t>
            </w:r>
          </w:p>
        </w:tc>
        <w:tc>
          <w:tcPr>
            <w:tcW w:w="128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100mL</w:t>
            </w:r>
          </w:p>
        </w:tc>
        <w:tc>
          <w:tcPr>
            <w:tcW w:w="49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1</w:t>
            </w:r>
          </w:p>
        </w:tc>
        <w:tc>
          <w:tcPr>
            <w:tcW w:w="58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只</w:t>
            </w:r>
          </w:p>
        </w:tc>
        <w:tc>
          <w:tcPr>
            <w:tcW w:w="58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0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5</w:t>
            </w:r>
          </w:p>
        </w:tc>
        <w:tc>
          <w:tcPr>
            <w:tcW w:w="154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镊子</w:t>
            </w:r>
          </w:p>
        </w:tc>
        <w:tc>
          <w:tcPr>
            <w:tcW w:w="128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12.5cm</w:t>
            </w:r>
          </w:p>
        </w:tc>
        <w:tc>
          <w:tcPr>
            <w:tcW w:w="49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1</w:t>
            </w:r>
          </w:p>
        </w:tc>
        <w:tc>
          <w:tcPr>
            <w:tcW w:w="58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个</w:t>
            </w:r>
          </w:p>
        </w:tc>
        <w:tc>
          <w:tcPr>
            <w:tcW w:w="58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无齿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0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6</w:t>
            </w:r>
          </w:p>
        </w:tc>
        <w:tc>
          <w:tcPr>
            <w:tcW w:w="154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待配药品</w:t>
            </w:r>
          </w:p>
        </w:tc>
        <w:tc>
          <w:tcPr>
            <w:tcW w:w="128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</w:p>
        </w:tc>
        <w:tc>
          <w:tcPr>
            <w:tcW w:w="49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1</w:t>
            </w:r>
          </w:p>
        </w:tc>
        <w:tc>
          <w:tcPr>
            <w:tcW w:w="58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瓶</w:t>
            </w:r>
          </w:p>
        </w:tc>
        <w:tc>
          <w:tcPr>
            <w:tcW w:w="58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0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7</w:t>
            </w:r>
          </w:p>
        </w:tc>
        <w:tc>
          <w:tcPr>
            <w:tcW w:w="154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灭菌注射用水</w:t>
            </w:r>
          </w:p>
        </w:tc>
        <w:tc>
          <w:tcPr>
            <w:tcW w:w="128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5mL（安瓿瓶）</w:t>
            </w:r>
          </w:p>
        </w:tc>
        <w:tc>
          <w:tcPr>
            <w:tcW w:w="49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2</w:t>
            </w:r>
          </w:p>
        </w:tc>
        <w:tc>
          <w:tcPr>
            <w:tcW w:w="58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支</w:t>
            </w:r>
          </w:p>
        </w:tc>
        <w:tc>
          <w:tcPr>
            <w:tcW w:w="58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0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8</w:t>
            </w:r>
          </w:p>
        </w:tc>
        <w:tc>
          <w:tcPr>
            <w:tcW w:w="154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砂轮</w:t>
            </w:r>
          </w:p>
        </w:tc>
        <w:tc>
          <w:tcPr>
            <w:tcW w:w="128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15mm</w:t>
            </w:r>
          </w:p>
        </w:tc>
        <w:tc>
          <w:tcPr>
            <w:tcW w:w="49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1</w:t>
            </w:r>
          </w:p>
        </w:tc>
        <w:tc>
          <w:tcPr>
            <w:tcW w:w="58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个</w:t>
            </w:r>
          </w:p>
        </w:tc>
        <w:tc>
          <w:tcPr>
            <w:tcW w:w="58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0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9</w:t>
            </w:r>
          </w:p>
        </w:tc>
        <w:tc>
          <w:tcPr>
            <w:tcW w:w="154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酒精棉球</w:t>
            </w:r>
          </w:p>
        </w:tc>
        <w:tc>
          <w:tcPr>
            <w:tcW w:w="128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自制</w:t>
            </w:r>
          </w:p>
        </w:tc>
        <w:tc>
          <w:tcPr>
            <w:tcW w:w="49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1</w:t>
            </w:r>
          </w:p>
        </w:tc>
        <w:tc>
          <w:tcPr>
            <w:tcW w:w="58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盒</w:t>
            </w:r>
          </w:p>
        </w:tc>
        <w:tc>
          <w:tcPr>
            <w:tcW w:w="58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0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1</w:t>
            </w:r>
            <w:r>
              <w:rPr>
                <w:rFonts w:ascii="Times New Roman" w:hAnsi="Times New Roman" w:eastAsia="仿宋" w:cs="仿宋"/>
                <w:sz w:val="24"/>
              </w:rPr>
              <w:t>0</w:t>
            </w:r>
          </w:p>
        </w:tc>
        <w:tc>
          <w:tcPr>
            <w:tcW w:w="154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垃圾桶</w:t>
            </w:r>
          </w:p>
        </w:tc>
        <w:tc>
          <w:tcPr>
            <w:tcW w:w="128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普通</w:t>
            </w:r>
          </w:p>
        </w:tc>
        <w:tc>
          <w:tcPr>
            <w:tcW w:w="49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1</w:t>
            </w:r>
          </w:p>
        </w:tc>
        <w:tc>
          <w:tcPr>
            <w:tcW w:w="58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个</w:t>
            </w:r>
          </w:p>
        </w:tc>
        <w:tc>
          <w:tcPr>
            <w:tcW w:w="58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06" w:type="pct"/>
            <w:tcBorders>
              <w:right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1</w:t>
            </w:r>
            <w:r>
              <w:rPr>
                <w:rFonts w:ascii="Times New Roman" w:hAnsi="Times New Roman" w:eastAsia="仿宋" w:cs="仿宋"/>
                <w:sz w:val="24"/>
              </w:rPr>
              <w:t>1</w:t>
            </w:r>
          </w:p>
        </w:tc>
        <w:tc>
          <w:tcPr>
            <w:tcW w:w="154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水</w:t>
            </w:r>
          </w:p>
        </w:tc>
        <w:tc>
          <w:tcPr>
            <w:tcW w:w="128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自来水或蒸馏水</w:t>
            </w:r>
          </w:p>
        </w:tc>
        <w:tc>
          <w:tcPr>
            <w:tcW w:w="49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50</w:t>
            </w:r>
          </w:p>
        </w:tc>
        <w:tc>
          <w:tcPr>
            <w:tcW w:w="58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mL</w:t>
            </w:r>
          </w:p>
        </w:tc>
        <w:tc>
          <w:tcPr>
            <w:tcW w:w="58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06" w:type="pct"/>
            <w:tcBorders>
              <w:right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1</w:t>
            </w:r>
            <w:r>
              <w:rPr>
                <w:rFonts w:ascii="Times New Roman" w:hAnsi="Times New Roman" w:eastAsia="仿宋" w:cs="仿宋"/>
                <w:sz w:val="24"/>
              </w:rPr>
              <w:t>2</w:t>
            </w:r>
          </w:p>
        </w:tc>
        <w:tc>
          <w:tcPr>
            <w:tcW w:w="154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kern w:val="0"/>
                <w:sz w:val="24"/>
              </w:rPr>
              <w:t>注射器部件记录表</w:t>
            </w:r>
          </w:p>
        </w:tc>
        <w:tc>
          <w:tcPr>
            <w:tcW w:w="128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A4纸</w:t>
            </w:r>
          </w:p>
        </w:tc>
        <w:tc>
          <w:tcPr>
            <w:tcW w:w="49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1</w:t>
            </w:r>
          </w:p>
        </w:tc>
        <w:tc>
          <w:tcPr>
            <w:tcW w:w="58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张</w:t>
            </w:r>
          </w:p>
        </w:tc>
        <w:tc>
          <w:tcPr>
            <w:tcW w:w="58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06" w:type="pct"/>
            <w:tcBorders>
              <w:right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1</w:t>
            </w:r>
            <w:r>
              <w:rPr>
                <w:rFonts w:ascii="Times New Roman" w:hAnsi="Times New Roman" w:eastAsia="仿宋" w:cs="仿宋"/>
                <w:sz w:val="24"/>
              </w:rPr>
              <w:t>3</w:t>
            </w:r>
          </w:p>
        </w:tc>
        <w:tc>
          <w:tcPr>
            <w:tcW w:w="154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记录用笔</w:t>
            </w:r>
          </w:p>
        </w:tc>
        <w:tc>
          <w:tcPr>
            <w:tcW w:w="128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普通</w:t>
            </w:r>
          </w:p>
        </w:tc>
        <w:tc>
          <w:tcPr>
            <w:tcW w:w="49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1</w:t>
            </w:r>
          </w:p>
        </w:tc>
        <w:tc>
          <w:tcPr>
            <w:tcW w:w="58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支</w:t>
            </w:r>
          </w:p>
        </w:tc>
        <w:tc>
          <w:tcPr>
            <w:tcW w:w="58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</w:p>
        </w:tc>
      </w:tr>
    </w:tbl>
    <w:p>
      <w:pPr>
        <w:numPr>
          <w:ilvl w:val="0"/>
          <w:numId w:val="2"/>
        </w:numPr>
        <w:snapToGrid w:val="0"/>
        <w:spacing w:line="560" w:lineRule="exact"/>
        <w:ind w:firstLine="640" w:firstLineChars="200"/>
        <w:outlineLvl w:val="0"/>
        <w:rPr>
          <w:rFonts w:ascii="Times New Roman" w:hAnsi="Times New Roman" w:eastAsia="黑体" w:cs="黑体"/>
          <w:bCs/>
          <w:kern w:val="0"/>
          <w:sz w:val="32"/>
          <w:szCs w:val="32"/>
        </w:rPr>
      </w:pPr>
      <w:r>
        <w:rPr>
          <w:rFonts w:hint="eastAsia" w:ascii="Times New Roman" w:hAnsi="Times New Roman" w:eastAsia="黑体" w:cs="黑体"/>
          <w:bCs/>
          <w:kern w:val="0"/>
          <w:sz w:val="32"/>
          <w:szCs w:val="32"/>
        </w:rPr>
        <w:t>考试样题及评分标准</w:t>
      </w:r>
    </w:p>
    <w:p>
      <w:pPr>
        <w:snapToGrid w:val="0"/>
        <w:spacing w:line="560" w:lineRule="exact"/>
        <w:ind w:firstLine="640" w:firstLineChars="200"/>
        <w:outlineLvl w:val="1"/>
        <w:rPr>
          <w:rFonts w:ascii="Times New Roman" w:hAnsi="Times New Roman" w:eastAsia="楷体" w:cs="楷体"/>
          <w:kern w:val="0"/>
          <w:sz w:val="32"/>
          <w:szCs w:val="32"/>
        </w:rPr>
      </w:pPr>
      <w:r>
        <w:rPr>
          <w:rFonts w:hint="eastAsia" w:ascii="Times New Roman" w:hAnsi="Times New Roman" w:eastAsia="楷体" w:cs="楷体"/>
          <w:kern w:val="0"/>
          <w:sz w:val="32"/>
          <w:szCs w:val="32"/>
        </w:rPr>
        <w:t>（一）常见植物和病虫害识别</w:t>
      </w:r>
    </w:p>
    <w:p>
      <w:pPr>
        <w:snapToGrid w:val="0"/>
        <w:spacing w:line="560" w:lineRule="exact"/>
        <w:ind w:firstLine="640" w:firstLineChars="200"/>
        <w:rPr>
          <w:rFonts w:ascii="Times New Roman" w:hAnsi="Times New Roman" w:eastAsia="仿宋" w:cs="仿宋"/>
          <w:kern w:val="0"/>
          <w:sz w:val="32"/>
          <w:szCs w:val="32"/>
        </w:rPr>
      </w:pPr>
      <w:r>
        <w:rPr>
          <w:rFonts w:hint="eastAsia" w:ascii="Times New Roman" w:hAnsi="Times New Roman" w:eastAsia="仿宋" w:cs="仿宋"/>
          <w:kern w:val="0"/>
          <w:sz w:val="32"/>
          <w:szCs w:val="32"/>
        </w:rPr>
        <w:t>1</w:t>
      </w:r>
      <w:r>
        <w:rPr>
          <w:rFonts w:ascii="Times New Roman" w:hAnsi="Times New Roman" w:eastAsia="仿宋" w:cs="仿宋"/>
          <w:kern w:val="0"/>
          <w:sz w:val="32"/>
          <w:szCs w:val="32"/>
        </w:rPr>
        <w:t>.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考试样题</w:t>
      </w:r>
    </w:p>
    <w:p>
      <w:pPr>
        <w:snapToGrid w:val="0"/>
        <w:spacing w:line="560" w:lineRule="exact"/>
        <w:ind w:firstLine="640" w:firstLineChars="200"/>
        <w:rPr>
          <w:rFonts w:ascii="Times New Roman" w:hAnsi="Times New Roman" w:eastAsia="仿宋" w:cs="仿宋"/>
          <w:kern w:val="0"/>
          <w:sz w:val="32"/>
          <w:szCs w:val="32"/>
        </w:rPr>
      </w:pPr>
      <w:r>
        <w:rPr>
          <w:rFonts w:hint="eastAsia" w:ascii="Times New Roman" w:hAnsi="Times New Roman" w:eastAsia="仿宋" w:cs="仿宋"/>
          <w:kern w:val="0"/>
          <w:sz w:val="32"/>
          <w:szCs w:val="32"/>
        </w:rPr>
        <w:t>在规定的时间内识别植物</w:t>
      </w:r>
      <w:r>
        <w:rPr>
          <w:rFonts w:ascii="Times New Roman" w:hAnsi="Times New Roman" w:eastAsia="仿宋" w:cs="仿宋"/>
          <w:kern w:val="0"/>
          <w:sz w:val="32"/>
          <w:szCs w:val="32"/>
        </w:rPr>
        <w:t>25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种，识别害虫</w:t>
      </w:r>
      <w:r>
        <w:rPr>
          <w:rFonts w:ascii="Times New Roman" w:hAnsi="Times New Roman" w:eastAsia="仿宋" w:cs="仿宋"/>
          <w:kern w:val="0"/>
          <w:sz w:val="32"/>
          <w:szCs w:val="32"/>
        </w:rPr>
        <w:t>15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种，识别病害</w:t>
      </w:r>
      <w:r>
        <w:rPr>
          <w:rFonts w:ascii="Times New Roman" w:hAnsi="Times New Roman" w:eastAsia="仿宋" w:cs="仿宋"/>
          <w:kern w:val="0"/>
          <w:sz w:val="32"/>
          <w:szCs w:val="32"/>
        </w:rPr>
        <w:t>10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种。时间</w:t>
      </w:r>
      <w:r>
        <w:rPr>
          <w:rFonts w:ascii="Times New Roman" w:hAnsi="Times New Roman" w:eastAsia="仿宋" w:cs="仿宋"/>
          <w:kern w:val="0"/>
          <w:sz w:val="32"/>
          <w:szCs w:val="32"/>
        </w:rPr>
        <w:t>30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分钟，总分</w:t>
      </w:r>
      <w:r>
        <w:rPr>
          <w:rFonts w:ascii="Times New Roman" w:hAnsi="Times New Roman" w:eastAsia="仿宋" w:cs="仿宋"/>
          <w:kern w:val="0"/>
          <w:sz w:val="32"/>
          <w:szCs w:val="32"/>
        </w:rPr>
        <w:t>50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分。</w:t>
      </w:r>
    </w:p>
    <w:p>
      <w:pPr>
        <w:snapToGrid w:val="0"/>
        <w:spacing w:line="560" w:lineRule="exact"/>
        <w:ind w:firstLine="640" w:firstLineChars="200"/>
        <w:rPr>
          <w:rFonts w:ascii="Times New Roman" w:hAnsi="Times New Roman" w:eastAsia="仿宋" w:cs="仿宋"/>
          <w:kern w:val="0"/>
          <w:sz w:val="32"/>
          <w:szCs w:val="32"/>
        </w:rPr>
      </w:pPr>
      <w:r>
        <w:rPr>
          <w:rFonts w:hint="eastAsia" w:ascii="Times New Roman" w:hAnsi="Times New Roman" w:eastAsia="仿宋" w:cs="仿宋"/>
          <w:kern w:val="0"/>
          <w:sz w:val="32"/>
          <w:szCs w:val="32"/>
        </w:rPr>
        <w:t>2</w:t>
      </w:r>
      <w:r>
        <w:rPr>
          <w:rFonts w:ascii="Times New Roman" w:hAnsi="Times New Roman" w:eastAsia="仿宋" w:cs="仿宋"/>
          <w:kern w:val="0"/>
          <w:sz w:val="32"/>
          <w:szCs w:val="32"/>
        </w:rPr>
        <w:t>.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评分标准</w:t>
      </w:r>
    </w:p>
    <w:tbl>
      <w:tblPr>
        <w:tblStyle w:val="21"/>
        <w:tblW w:w="496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2475"/>
        <w:gridCol w:w="4222"/>
        <w:gridCol w:w="10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428" w:type="pc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 w:cs="仿宋"/>
                <w:b/>
                <w:sz w:val="24"/>
              </w:rPr>
            </w:pPr>
            <w:r>
              <w:rPr>
                <w:rFonts w:hint="eastAsia" w:ascii="Times New Roman" w:hAnsi="Times New Roman" w:eastAsia="仿宋" w:cs="仿宋"/>
                <w:b/>
                <w:sz w:val="24"/>
              </w:rPr>
              <w:t>序号</w:t>
            </w:r>
          </w:p>
        </w:tc>
        <w:tc>
          <w:tcPr>
            <w:tcW w:w="1464" w:type="pc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 w:cs="仿宋"/>
                <w:b/>
                <w:sz w:val="24"/>
              </w:rPr>
            </w:pPr>
            <w:r>
              <w:rPr>
                <w:rFonts w:hint="eastAsia" w:ascii="Times New Roman" w:hAnsi="Times New Roman" w:eastAsia="仿宋" w:cs="仿宋"/>
                <w:b/>
                <w:sz w:val="24"/>
              </w:rPr>
              <w:t>评分要点</w:t>
            </w:r>
          </w:p>
        </w:tc>
        <w:tc>
          <w:tcPr>
            <w:tcW w:w="2497" w:type="pc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 w:cs="仿宋"/>
                <w:b/>
                <w:sz w:val="24"/>
              </w:rPr>
            </w:pPr>
            <w:r>
              <w:rPr>
                <w:rFonts w:hint="eastAsia" w:ascii="Times New Roman" w:hAnsi="Times New Roman" w:eastAsia="仿宋" w:cs="仿宋"/>
                <w:b/>
                <w:sz w:val="24"/>
              </w:rPr>
              <w:t>评分依据</w:t>
            </w:r>
          </w:p>
        </w:tc>
        <w:tc>
          <w:tcPr>
            <w:tcW w:w="611" w:type="pc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 w:cs="仿宋"/>
                <w:b/>
                <w:sz w:val="24"/>
              </w:rPr>
            </w:pPr>
            <w:r>
              <w:rPr>
                <w:rFonts w:hint="eastAsia" w:ascii="Times New Roman" w:hAnsi="Times New Roman" w:eastAsia="仿宋" w:cs="仿宋"/>
                <w:b/>
                <w:sz w:val="24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8" w:type="pct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1</w:t>
            </w:r>
          </w:p>
        </w:tc>
        <w:tc>
          <w:tcPr>
            <w:tcW w:w="1464" w:type="pct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常见植物识别</w:t>
            </w:r>
          </w:p>
        </w:tc>
        <w:tc>
          <w:tcPr>
            <w:tcW w:w="2497" w:type="pct"/>
            <w:vAlign w:val="center"/>
          </w:tcPr>
          <w:p>
            <w:pPr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识别常见植物品种。（1分/个）</w:t>
            </w:r>
          </w:p>
        </w:tc>
        <w:tc>
          <w:tcPr>
            <w:tcW w:w="611" w:type="pct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428" w:type="pct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2</w:t>
            </w:r>
          </w:p>
        </w:tc>
        <w:tc>
          <w:tcPr>
            <w:tcW w:w="1464" w:type="pct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color w:val="000000"/>
                <w:sz w:val="24"/>
                <w:highlight w:val="yellow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常见植物病虫害识别</w:t>
            </w:r>
          </w:p>
        </w:tc>
        <w:tc>
          <w:tcPr>
            <w:tcW w:w="2497" w:type="pct"/>
            <w:vAlign w:val="center"/>
          </w:tcPr>
          <w:p>
            <w:pPr>
              <w:rPr>
                <w:rFonts w:ascii="Times New Roman" w:hAnsi="Times New Roman" w:eastAsia="仿宋" w:cs="仿宋"/>
                <w:color w:val="000000"/>
                <w:sz w:val="24"/>
                <w:highlight w:val="yellow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识别常见害虫和病害。（1分/个）</w:t>
            </w:r>
          </w:p>
        </w:tc>
        <w:tc>
          <w:tcPr>
            <w:tcW w:w="611" w:type="pct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color w:val="000000"/>
                <w:sz w:val="24"/>
                <w:highlight w:val="yellow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25</w:t>
            </w:r>
          </w:p>
        </w:tc>
      </w:tr>
    </w:tbl>
    <w:p>
      <w:pPr>
        <w:spacing w:line="560" w:lineRule="exact"/>
        <w:ind w:firstLine="640" w:firstLineChars="200"/>
        <w:outlineLvl w:val="1"/>
        <w:rPr>
          <w:rFonts w:ascii="Times New Roman" w:hAnsi="Times New Roman" w:eastAsia="楷体" w:cs="楷体"/>
          <w:kern w:val="0"/>
          <w:sz w:val="32"/>
          <w:szCs w:val="32"/>
        </w:rPr>
      </w:pPr>
      <w:r>
        <w:rPr>
          <w:rFonts w:hint="eastAsia" w:ascii="Times New Roman" w:hAnsi="Times New Roman" w:eastAsia="楷体" w:cs="楷体"/>
          <w:kern w:val="0"/>
          <w:sz w:val="32"/>
          <w:szCs w:val="32"/>
        </w:rPr>
        <w:t>（二）动物品种及饲料原料识别</w:t>
      </w:r>
    </w:p>
    <w:p>
      <w:pPr>
        <w:spacing w:line="560" w:lineRule="exact"/>
        <w:ind w:firstLine="640" w:firstLineChars="200"/>
        <w:rPr>
          <w:rFonts w:ascii="Times New Roman" w:hAnsi="Times New Roman" w:eastAsia="仿宋" w:cs="仿宋"/>
          <w:kern w:val="0"/>
          <w:sz w:val="32"/>
          <w:szCs w:val="32"/>
        </w:rPr>
      </w:pPr>
      <w:r>
        <w:rPr>
          <w:rFonts w:hint="eastAsia" w:ascii="Times New Roman" w:hAnsi="Times New Roman" w:eastAsia="仿宋" w:cs="仿宋"/>
          <w:kern w:val="0"/>
          <w:sz w:val="32"/>
          <w:szCs w:val="32"/>
        </w:rPr>
        <w:t>1</w:t>
      </w:r>
      <w:r>
        <w:rPr>
          <w:rFonts w:ascii="Times New Roman" w:hAnsi="Times New Roman" w:eastAsia="仿宋" w:cs="仿宋"/>
          <w:kern w:val="0"/>
          <w:sz w:val="32"/>
          <w:szCs w:val="32"/>
        </w:rPr>
        <w:t>.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考试样题</w:t>
      </w:r>
    </w:p>
    <w:p>
      <w:pPr>
        <w:spacing w:line="560" w:lineRule="exact"/>
        <w:ind w:firstLine="640" w:firstLineChars="200"/>
        <w:rPr>
          <w:rFonts w:ascii="Times New Roman" w:hAnsi="Times New Roman" w:eastAsia="仿宋" w:cs="仿宋"/>
          <w:kern w:val="0"/>
          <w:sz w:val="32"/>
          <w:szCs w:val="32"/>
        </w:rPr>
      </w:pPr>
      <w:r>
        <w:rPr>
          <w:rFonts w:hint="eastAsia" w:ascii="Times New Roman" w:hAnsi="Times New Roman" w:eastAsia="仿宋" w:cs="仿宋"/>
          <w:kern w:val="0"/>
          <w:sz w:val="32"/>
          <w:szCs w:val="32"/>
        </w:rPr>
        <w:t>在规定的时间内识别猪、牛、羊、禽、犬、猫品种3</w:t>
      </w:r>
      <w:r>
        <w:rPr>
          <w:rFonts w:ascii="Times New Roman" w:hAnsi="Times New Roman" w:eastAsia="仿宋" w:cs="仿宋"/>
          <w:kern w:val="0"/>
          <w:sz w:val="32"/>
          <w:szCs w:val="32"/>
        </w:rPr>
        <w:t>0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个，识别饲料原料</w:t>
      </w:r>
      <w:r>
        <w:rPr>
          <w:rFonts w:ascii="Times New Roman" w:hAnsi="Times New Roman" w:eastAsia="仿宋" w:cs="仿宋"/>
          <w:kern w:val="0"/>
          <w:sz w:val="32"/>
          <w:szCs w:val="32"/>
        </w:rPr>
        <w:t>20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种。时间</w:t>
      </w:r>
      <w:r>
        <w:rPr>
          <w:rFonts w:ascii="Times New Roman" w:hAnsi="Times New Roman" w:eastAsia="仿宋" w:cs="仿宋"/>
          <w:kern w:val="0"/>
          <w:sz w:val="32"/>
          <w:szCs w:val="32"/>
        </w:rPr>
        <w:t>30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分钟，总分5</w:t>
      </w:r>
      <w:r>
        <w:rPr>
          <w:rFonts w:ascii="Times New Roman" w:hAnsi="Times New Roman" w:eastAsia="仿宋" w:cs="仿宋"/>
          <w:kern w:val="0"/>
          <w:sz w:val="32"/>
          <w:szCs w:val="32"/>
        </w:rPr>
        <w:t>0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分。</w:t>
      </w:r>
    </w:p>
    <w:p>
      <w:pPr>
        <w:spacing w:line="560" w:lineRule="exact"/>
        <w:ind w:firstLine="640" w:firstLineChars="200"/>
        <w:rPr>
          <w:rFonts w:ascii="Times New Roman" w:hAnsi="Times New Roman" w:eastAsia="仿宋" w:cs="仿宋"/>
          <w:kern w:val="0"/>
          <w:sz w:val="32"/>
          <w:szCs w:val="32"/>
        </w:rPr>
      </w:pPr>
      <w:r>
        <w:rPr>
          <w:rFonts w:hint="eastAsia" w:ascii="Times New Roman" w:hAnsi="Times New Roman" w:eastAsia="仿宋" w:cs="仿宋"/>
          <w:kern w:val="0"/>
          <w:sz w:val="32"/>
          <w:szCs w:val="32"/>
        </w:rPr>
        <w:t>2</w:t>
      </w:r>
      <w:r>
        <w:rPr>
          <w:rFonts w:ascii="Times New Roman" w:hAnsi="Times New Roman" w:eastAsia="仿宋" w:cs="仿宋"/>
          <w:kern w:val="0"/>
          <w:sz w:val="32"/>
          <w:szCs w:val="32"/>
        </w:rPr>
        <w:t>.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评分标准</w:t>
      </w:r>
    </w:p>
    <w:tbl>
      <w:tblPr>
        <w:tblStyle w:val="21"/>
        <w:tblW w:w="4960" w:type="pct"/>
        <w:tblInd w:w="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2149"/>
        <w:gridCol w:w="4476"/>
        <w:gridCol w:w="1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447" w:type="pc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 w:cs="仿宋"/>
                <w:b/>
                <w:sz w:val="24"/>
              </w:rPr>
            </w:pPr>
            <w:r>
              <w:rPr>
                <w:rFonts w:hint="eastAsia" w:ascii="Times New Roman" w:hAnsi="Times New Roman" w:eastAsia="仿宋" w:cs="仿宋"/>
                <w:b/>
                <w:sz w:val="24"/>
              </w:rPr>
              <w:t>序号</w:t>
            </w:r>
          </w:p>
        </w:tc>
        <w:tc>
          <w:tcPr>
            <w:tcW w:w="1271" w:type="pc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 w:cs="仿宋"/>
                <w:b/>
                <w:sz w:val="24"/>
              </w:rPr>
            </w:pPr>
            <w:r>
              <w:rPr>
                <w:rFonts w:hint="eastAsia" w:ascii="Times New Roman" w:hAnsi="Times New Roman" w:eastAsia="仿宋" w:cs="仿宋"/>
                <w:b/>
                <w:sz w:val="24"/>
              </w:rPr>
              <w:t>评分要点</w:t>
            </w:r>
          </w:p>
        </w:tc>
        <w:tc>
          <w:tcPr>
            <w:tcW w:w="2647" w:type="pc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 w:cs="仿宋"/>
                <w:b/>
                <w:sz w:val="24"/>
              </w:rPr>
            </w:pPr>
            <w:r>
              <w:rPr>
                <w:rFonts w:hint="eastAsia" w:ascii="Times New Roman" w:hAnsi="Times New Roman" w:eastAsia="仿宋" w:cs="仿宋"/>
                <w:b/>
                <w:sz w:val="24"/>
              </w:rPr>
              <w:t>评分依据</w:t>
            </w:r>
          </w:p>
        </w:tc>
        <w:tc>
          <w:tcPr>
            <w:tcW w:w="635" w:type="pc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 w:cs="仿宋"/>
                <w:b/>
                <w:sz w:val="24"/>
              </w:rPr>
            </w:pPr>
            <w:r>
              <w:rPr>
                <w:rFonts w:hint="eastAsia" w:ascii="Times New Roman" w:hAnsi="Times New Roman" w:eastAsia="仿宋" w:cs="仿宋"/>
                <w:b/>
                <w:sz w:val="24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7" w:type="pct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1</w:t>
            </w:r>
          </w:p>
        </w:tc>
        <w:tc>
          <w:tcPr>
            <w:tcW w:w="1271" w:type="pct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动物品种识别</w:t>
            </w:r>
          </w:p>
        </w:tc>
        <w:tc>
          <w:tcPr>
            <w:tcW w:w="2647" w:type="pct"/>
            <w:vAlign w:val="center"/>
          </w:tcPr>
          <w:p>
            <w:pPr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判断识别常见品种（1分/个）</w:t>
            </w:r>
          </w:p>
        </w:tc>
        <w:tc>
          <w:tcPr>
            <w:tcW w:w="635" w:type="pct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7" w:type="pct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2</w:t>
            </w:r>
          </w:p>
        </w:tc>
        <w:tc>
          <w:tcPr>
            <w:tcW w:w="1271" w:type="pct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kern w:val="0"/>
                <w:sz w:val="24"/>
              </w:rPr>
              <w:t>饲料原料识别</w:t>
            </w:r>
          </w:p>
        </w:tc>
        <w:tc>
          <w:tcPr>
            <w:tcW w:w="2647" w:type="pct"/>
            <w:vAlign w:val="center"/>
          </w:tcPr>
          <w:p>
            <w:pPr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判断识别常见饲料原料（1分/个）</w:t>
            </w:r>
          </w:p>
        </w:tc>
        <w:tc>
          <w:tcPr>
            <w:tcW w:w="635" w:type="pct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20</w:t>
            </w:r>
          </w:p>
        </w:tc>
      </w:tr>
    </w:tbl>
    <w:p>
      <w:pPr>
        <w:spacing w:line="560" w:lineRule="exact"/>
        <w:ind w:firstLine="640" w:firstLineChars="200"/>
        <w:outlineLvl w:val="1"/>
        <w:rPr>
          <w:rFonts w:ascii="Times New Roman" w:hAnsi="Times New Roman" w:eastAsia="楷体" w:cs="楷体"/>
          <w:kern w:val="0"/>
          <w:sz w:val="32"/>
          <w:szCs w:val="32"/>
        </w:rPr>
      </w:pPr>
      <w:r>
        <w:rPr>
          <w:rFonts w:hint="eastAsia" w:ascii="Times New Roman" w:hAnsi="Times New Roman" w:eastAsia="楷体" w:cs="楷体"/>
          <w:kern w:val="0"/>
          <w:sz w:val="32"/>
          <w:szCs w:val="32"/>
        </w:rPr>
        <w:t>（三）土壤pH值测定</w:t>
      </w:r>
    </w:p>
    <w:p>
      <w:pPr>
        <w:snapToGrid w:val="0"/>
        <w:spacing w:line="560" w:lineRule="exact"/>
        <w:ind w:firstLine="640" w:firstLineChars="200"/>
        <w:rPr>
          <w:rFonts w:ascii="Times New Roman" w:hAnsi="Times New Roman" w:eastAsia="仿宋" w:cs="仿宋"/>
          <w:kern w:val="0"/>
          <w:sz w:val="32"/>
          <w:szCs w:val="32"/>
        </w:rPr>
      </w:pPr>
      <w:r>
        <w:rPr>
          <w:rFonts w:hint="eastAsia" w:ascii="Times New Roman" w:hAnsi="Times New Roman" w:eastAsia="仿宋" w:cs="仿宋"/>
          <w:kern w:val="0"/>
          <w:sz w:val="32"/>
          <w:szCs w:val="32"/>
        </w:rPr>
        <w:t>1</w:t>
      </w:r>
      <w:r>
        <w:rPr>
          <w:rFonts w:ascii="Times New Roman" w:hAnsi="Times New Roman" w:eastAsia="仿宋" w:cs="仿宋"/>
          <w:kern w:val="0"/>
          <w:sz w:val="32"/>
          <w:szCs w:val="32"/>
        </w:rPr>
        <w:t>.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考试样题</w:t>
      </w:r>
    </w:p>
    <w:p>
      <w:pPr>
        <w:snapToGrid w:val="0"/>
        <w:spacing w:line="560" w:lineRule="exact"/>
        <w:ind w:firstLine="640" w:firstLineChars="200"/>
        <w:rPr>
          <w:rFonts w:ascii="Times New Roman" w:hAnsi="Times New Roman" w:eastAsia="仿宋" w:cs="仿宋"/>
          <w:kern w:val="0"/>
          <w:sz w:val="32"/>
          <w:szCs w:val="32"/>
        </w:rPr>
      </w:pPr>
      <w:r>
        <w:rPr>
          <w:rFonts w:hint="eastAsia" w:ascii="Times New Roman" w:hAnsi="Times New Roman" w:eastAsia="仿宋" w:cs="仿宋"/>
          <w:kern w:val="0"/>
          <w:sz w:val="32"/>
          <w:szCs w:val="32"/>
        </w:rPr>
        <w:t>规定时间内按规范操作完成给定土壤样品</w:t>
      </w:r>
      <w:r>
        <w:rPr>
          <w:rFonts w:ascii="Times New Roman" w:hAnsi="Times New Roman" w:eastAsia="仿宋" w:cs="仿宋"/>
          <w:kern w:val="0"/>
          <w:sz w:val="32"/>
          <w:szCs w:val="32"/>
        </w:rPr>
        <w:t>pH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值测定，并能判别酸碱度。时间为</w:t>
      </w:r>
      <w:r>
        <w:rPr>
          <w:rFonts w:ascii="Times New Roman" w:hAnsi="Times New Roman" w:eastAsia="仿宋" w:cs="仿宋"/>
          <w:kern w:val="0"/>
          <w:sz w:val="32"/>
          <w:szCs w:val="32"/>
        </w:rPr>
        <w:t>30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分钟，总分为</w:t>
      </w:r>
      <w:r>
        <w:rPr>
          <w:rFonts w:ascii="Times New Roman" w:hAnsi="Times New Roman" w:eastAsia="仿宋" w:cs="仿宋"/>
          <w:kern w:val="0"/>
          <w:sz w:val="32"/>
          <w:szCs w:val="32"/>
        </w:rPr>
        <w:t>50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分。</w:t>
      </w:r>
    </w:p>
    <w:p>
      <w:pPr>
        <w:snapToGrid w:val="0"/>
        <w:spacing w:line="400" w:lineRule="exact"/>
        <w:jc w:val="center"/>
        <w:rPr>
          <w:rFonts w:ascii="Times New Roman" w:hAnsi="Times New Roman" w:eastAsia="宋体"/>
          <w:b/>
          <w:color w:val="000000"/>
          <w:kern w:val="0"/>
          <w:sz w:val="24"/>
          <w:szCs w:val="21"/>
        </w:rPr>
      </w:pPr>
      <w:r>
        <w:rPr>
          <w:rFonts w:hint="eastAsia" w:ascii="Times New Roman" w:hAnsi="Times New Roman" w:eastAsia="仿宋" w:cs="仿宋"/>
          <w:b/>
          <w:kern w:val="0"/>
          <w:sz w:val="24"/>
          <w:szCs w:val="21"/>
        </w:rPr>
        <w:t>土壤</w:t>
      </w:r>
      <w:r>
        <w:rPr>
          <w:rFonts w:ascii="Times New Roman" w:hAnsi="Times New Roman" w:eastAsia="仿宋" w:cs="仿宋"/>
          <w:b/>
          <w:kern w:val="0"/>
          <w:sz w:val="24"/>
          <w:szCs w:val="21"/>
        </w:rPr>
        <w:t>pH</w:t>
      </w:r>
      <w:r>
        <w:rPr>
          <w:rFonts w:hint="eastAsia" w:ascii="Times New Roman" w:hAnsi="Times New Roman" w:eastAsia="仿宋" w:cs="仿宋"/>
          <w:b/>
          <w:kern w:val="0"/>
          <w:sz w:val="24"/>
          <w:szCs w:val="21"/>
        </w:rPr>
        <w:t>值测定记录表</w:t>
      </w:r>
    </w:p>
    <w:tbl>
      <w:tblPr>
        <w:tblStyle w:val="21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"/>
        <w:gridCol w:w="1300"/>
        <w:gridCol w:w="1302"/>
        <w:gridCol w:w="970"/>
        <w:gridCol w:w="1050"/>
        <w:gridCol w:w="1967"/>
        <w:gridCol w:w="9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7" w:type="pc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763" w:type="pc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样品号</w:t>
            </w:r>
          </w:p>
        </w:tc>
        <w:tc>
          <w:tcPr>
            <w:tcW w:w="764" w:type="pct"/>
            <w:vAlign w:val="center"/>
          </w:tcPr>
          <w:p>
            <w:pPr>
              <w:spacing w:line="400" w:lineRule="exact"/>
              <w:ind w:left="-208" w:leftChars="-99" w:firstLine="208" w:firstLineChars="87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称取量</w:t>
            </w:r>
          </w:p>
        </w:tc>
        <w:tc>
          <w:tcPr>
            <w:tcW w:w="569" w:type="pct"/>
            <w:vAlign w:val="center"/>
          </w:tcPr>
          <w:p>
            <w:pPr>
              <w:spacing w:line="400" w:lineRule="exact"/>
              <w:ind w:left="-208" w:leftChars="-99" w:firstLine="208" w:firstLineChars="87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温度</w:t>
            </w:r>
          </w:p>
        </w:tc>
        <w:tc>
          <w:tcPr>
            <w:tcW w:w="616" w:type="pc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pH值</w:t>
            </w:r>
          </w:p>
        </w:tc>
        <w:tc>
          <w:tcPr>
            <w:tcW w:w="1154" w:type="pc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土壤酸碱性</w:t>
            </w:r>
          </w:p>
        </w:tc>
        <w:tc>
          <w:tcPr>
            <w:tcW w:w="567" w:type="pc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</w:rPr>
              <w:t>偏差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7" w:type="pc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763" w:type="pc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764" w:type="pc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569" w:type="pc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616" w:type="pc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154" w:type="pc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567" w:type="pct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567" w:type="pc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763" w:type="pc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764" w:type="pc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569" w:type="pc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616" w:type="pc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154" w:type="pc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567" w:type="pct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仿宋"/>
                <w:color w:val="000000"/>
                <w:kern w:val="0"/>
                <w:sz w:val="24"/>
              </w:rPr>
            </w:pPr>
          </w:p>
        </w:tc>
      </w:tr>
    </w:tbl>
    <w:p>
      <w:pPr>
        <w:snapToGrid w:val="0"/>
        <w:spacing w:line="560" w:lineRule="exact"/>
        <w:ind w:firstLine="640" w:firstLineChars="200"/>
        <w:rPr>
          <w:rFonts w:ascii="Times New Roman" w:hAnsi="Times New Roman" w:eastAsia="仿宋" w:cs="仿宋"/>
          <w:kern w:val="0"/>
          <w:sz w:val="32"/>
          <w:szCs w:val="32"/>
        </w:rPr>
      </w:pPr>
      <w:r>
        <w:rPr>
          <w:rFonts w:hint="eastAsia" w:ascii="Times New Roman" w:hAnsi="Times New Roman" w:eastAsia="仿宋" w:cs="仿宋"/>
          <w:kern w:val="0"/>
          <w:sz w:val="32"/>
          <w:szCs w:val="32"/>
        </w:rPr>
        <w:t>2</w:t>
      </w:r>
      <w:r>
        <w:rPr>
          <w:rFonts w:ascii="Times New Roman" w:hAnsi="Times New Roman" w:eastAsia="仿宋" w:cs="仿宋"/>
          <w:kern w:val="0"/>
          <w:sz w:val="32"/>
          <w:szCs w:val="32"/>
        </w:rPr>
        <w:t>.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评分标准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276"/>
        <w:gridCol w:w="5528"/>
        <w:gridCol w:w="7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704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 w:cs="仿宋"/>
                <w:b/>
                <w:sz w:val="24"/>
              </w:rPr>
            </w:pPr>
            <w:r>
              <w:rPr>
                <w:rFonts w:hint="eastAsia" w:ascii="Times New Roman" w:hAnsi="Times New Roman" w:eastAsia="仿宋" w:cs="仿宋"/>
                <w:b/>
                <w:sz w:val="24"/>
              </w:rPr>
              <w:t>序号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 w:cs="仿宋"/>
                <w:b/>
                <w:sz w:val="24"/>
              </w:rPr>
            </w:pPr>
            <w:r>
              <w:rPr>
                <w:rFonts w:hint="eastAsia" w:ascii="Times New Roman" w:hAnsi="Times New Roman" w:eastAsia="仿宋" w:cs="仿宋"/>
                <w:b/>
                <w:sz w:val="24"/>
              </w:rPr>
              <w:t>评分要点</w:t>
            </w:r>
          </w:p>
        </w:tc>
        <w:tc>
          <w:tcPr>
            <w:tcW w:w="5528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 w:cs="仿宋"/>
                <w:b/>
                <w:sz w:val="24"/>
              </w:rPr>
            </w:pPr>
            <w:r>
              <w:rPr>
                <w:rFonts w:hint="eastAsia" w:ascii="Times New Roman" w:hAnsi="Times New Roman" w:eastAsia="仿宋" w:cs="仿宋"/>
                <w:b/>
                <w:sz w:val="24"/>
              </w:rPr>
              <w:t>评分依据</w:t>
            </w:r>
          </w:p>
        </w:tc>
        <w:tc>
          <w:tcPr>
            <w:tcW w:w="788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 w:cs="仿宋"/>
                <w:b/>
                <w:sz w:val="24"/>
              </w:rPr>
            </w:pPr>
            <w:r>
              <w:rPr>
                <w:rFonts w:hint="eastAsia" w:ascii="Times New Roman" w:hAnsi="Times New Roman" w:eastAsia="仿宋" w:cs="仿宋"/>
                <w:b/>
                <w:sz w:val="24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704" w:type="dxa"/>
            <w:vMerge w:val="restart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土样称取与浸提</w:t>
            </w:r>
          </w:p>
        </w:tc>
        <w:tc>
          <w:tcPr>
            <w:tcW w:w="5528" w:type="dxa"/>
            <w:vAlign w:val="center"/>
          </w:tcPr>
          <w:p>
            <w:pPr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正确检查和调平电子天平，操作规范</w:t>
            </w: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704" w:type="dxa"/>
            <w:vMerge w:val="continue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</w:p>
        </w:tc>
        <w:tc>
          <w:tcPr>
            <w:tcW w:w="5528" w:type="dxa"/>
            <w:vAlign w:val="center"/>
          </w:tcPr>
          <w:p>
            <w:pPr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准确称取18目风干土样10.00g两份，误差小于0.01g，于50mL高型烧杯中，标签粘贴（书写）规范</w:t>
            </w: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704" w:type="dxa"/>
            <w:vMerge w:val="continue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</w:p>
        </w:tc>
        <w:tc>
          <w:tcPr>
            <w:tcW w:w="5528" w:type="dxa"/>
            <w:vAlign w:val="center"/>
          </w:tcPr>
          <w:p>
            <w:pPr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用量筒准确量取25mL去离子水加入高型烧杯中，并用玻璃棒搅拌1min，静置备用</w:t>
            </w: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vMerge w:val="restart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2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pH计调试与校正</w:t>
            </w:r>
          </w:p>
        </w:tc>
        <w:tc>
          <w:tcPr>
            <w:tcW w:w="5528" w:type="dxa"/>
            <w:vAlign w:val="center"/>
          </w:tcPr>
          <w:p>
            <w:pPr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用温度计准确测量待测液温度，并根据待测液温度，使用pH计温度补偿旋钮，操作规范</w:t>
            </w: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vMerge w:val="continue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</w:p>
        </w:tc>
        <w:tc>
          <w:tcPr>
            <w:tcW w:w="5528" w:type="dxa"/>
            <w:vAlign w:val="center"/>
          </w:tcPr>
          <w:p>
            <w:pPr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准确使用</w:t>
            </w:r>
            <w:r>
              <w:rPr>
                <w:rFonts w:ascii="Times New Roman" w:hAnsi="Times New Roman" w:eastAsia="仿宋" w:cs="仿宋"/>
                <w:color w:val="000000"/>
                <w:sz w:val="24"/>
              </w:rPr>
              <w:t>pH 6.86</w:t>
            </w: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标准缓冲液粉剂配制标准缓冲液</w:t>
            </w: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04" w:type="dxa"/>
            <w:vMerge w:val="continue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</w:p>
        </w:tc>
        <w:tc>
          <w:tcPr>
            <w:tcW w:w="5528" w:type="dxa"/>
            <w:vAlign w:val="center"/>
          </w:tcPr>
          <w:p>
            <w:pPr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利用pH 6.86和pH 9.18标准缓冲液，校正pH计，操作规范</w:t>
            </w: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4" w:type="dxa"/>
            <w:vMerge w:val="restart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3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pH值测定</w:t>
            </w:r>
          </w:p>
        </w:tc>
        <w:tc>
          <w:tcPr>
            <w:tcW w:w="5528" w:type="dxa"/>
            <w:vAlign w:val="center"/>
          </w:tcPr>
          <w:p>
            <w:pPr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使用pH计测定两份样品，读数正确，操作规范</w:t>
            </w: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0" w:hRule="atLeast"/>
        </w:trPr>
        <w:tc>
          <w:tcPr>
            <w:tcW w:w="704" w:type="dxa"/>
            <w:vMerge w:val="continue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</w:p>
        </w:tc>
        <w:tc>
          <w:tcPr>
            <w:tcW w:w="5528" w:type="dxa"/>
            <w:vAlign w:val="center"/>
          </w:tcPr>
          <w:p>
            <w:pPr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pH计使用完毕后用去离子水冲洗电极，并用吸水纸条将其吸干</w:t>
            </w: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ascii="Times New Roman" w:hAnsi="Times New Roman" w:eastAsia="仿宋" w:cs="仿宋"/>
                <w:color w:val="000000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704" w:type="dxa"/>
            <w:vMerge w:val="continue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</w:p>
        </w:tc>
        <w:tc>
          <w:tcPr>
            <w:tcW w:w="5528" w:type="dxa"/>
            <w:vAlign w:val="center"/>
          </w:tcPr>
          <w:p>
            <w:pPr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两份样品读数偏差小于0.2</w:t>
            </w: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4" w:hRule="atLeast"/>
        </w:trPr>
        <w:tc>
          <w:tcPr>
            <w:tcW w:w="704" w:type="dxa"/>
            <w:vMerge w:val="restart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4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数据处理</w:t>
            </w:r>
          </w:p>
        </w:tc>
        <w:tc>
          <w:tcPr>
            <w:tcW w:w="5528" w:type="dxa"/>
            <w:vAlign w:val="center"/>
          </w:tcPr>
          <w:p>
            <w:pPr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能将称量的结果，准确填写到相关表格中</w:t>
            </w: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704" w:type="dxa"/>
            <w:vMerge w:val="continue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rPr>
                <w:rFonts w:ascii="Times New Roman" w:hAnsi="Times New Roman" w:eastAsia="仿宋" w:cs="仿宋"/>
                <w:color w:val="000000"/>
                <w:sz w:val="24"/>
              </w:rPr>
            </w:pPr>
          </w:p>
        </w:tc>
        <w:tc>
          <w:tcPr>
            <w:tcW w:w="5528" w:type="dxa"/>
            <w:vAlign w:val="center"/>
          </w:tcPr>
          <w:p>
            <w:pPr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并能根据测定结果，判断土壤酸碱度</w:t>
            </w: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704" w:type="dxa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熟练程度</w:t>
            </w:r>
          </w:p>
        </w:tc>
        <w:tc>
          <w:tcPr>
            <w:tcW w:w="5528" w:type="dxa"/>
            <w:vAlign w:val="center"/>
          </w:tcPr>
          <w:p>
            <w:pPr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能在规定时间内完成，操作规范、动作流畅</w:t>
            </w: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4" w:type="dxa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6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文明操作</w:t>
            </w:r>
          </w:p>
        </w:tc>
        <w:tc>
          <w:tcPr>
            <w:tcW w:w="5528" w:type="dxa"/>
            <w:vAlign w:val="center"/>
          </w:tcPr>
          <w:p>
            <w:pPr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及时清理工作台面，并将相关仪器用具简单清洗，物品及器具摆放整齐</w:t>
            </w: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5</w:t>
            </w:r>
          </w:p>
        </w:tc>
      </w:tr>
    </w:tbl>
    <w:p>
      <w:pPr>
        <w:snapToGrid w:val="0"/>
        <w:spacing w:line="560" w:lineRule="exact"/>
        <w:ind w:firstLine="640" w:firstLineChars="200"/>
        <w:outlineLvl w:val="1"/>
        <w:rPr>
          <w:rFonts w:ascii="Times New Roman" w:hAnsi="Times New Roman" w:eastAsia="楷体" w:cs="楷体"/>
          <w:kern w:val="0"/>
          <w:sz w:val="32"/>
          <w:szCs w:val="32"/>
        </w:rPr>
      </w:pPr>
      <w:r>
        <w:rPr>
          <w:rFonts w:hint="eastAsia" w:ascii="Times New Roman" w:hAnsi="Times New Roman" w:eastAsia="楷体" w:cs="楷体"/>
          <w:kern w:val="0"/>
          <w:sz w:val="32"/>
          <w:szCs w:val="32"/>
        </w:rPr>
        <w:t>（四）注射器的使用及药物配制</w:t>
      </w:r>
    </w:p>
    <w:p>
      <w:pPr>
        <w:snapToGrid w:val="0"/>
        <w:spacing w:line="560" w:lineRule="exact"/>
        <w:ind w:firstLine="640" w:firstLineChars="200"/>
        <w:rPr>
          <w:rFonts w:ascii="Times New Roman" w:hAnsi="Times New Roman" w:eastAsia="仿宋" w:cs="仿宋"/>
          <w:kern w:val="0"/>
          <w:sz w:val="32"/>
          <w:szCs w:val="32"/>
        </w:rPr>
      </w:pPr>
      <w:r>
        <w:rPr>
          <w:rFonts w:hint="eastAsia" w:ascii="Times New Roman" w:hAnsi="Times New Roman" w:eastAsia="仿宋" w:cs="仿宋"/>
          <w:kern w:val="0"/>
          <w:sz w:val="32"/>
          <w:szCs w:val="32"/>
        </w:rPr>
        <w:t>1</w:t>
      </w:r>
      <w:r>
        <w:rPr>
          <w:rFonts w:ascii="Times New Roman" w:hAnsi="Times New Roman" w:eastAsia="仿宋" w:cs="仿宋"/>
          <w:kern w:val="0"/>
          <w:sz w:val="32"/>
          <w:szCs w:val="32"/>
        </w:rPr>
        <w:t>.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考试样题</w:t>
      </w:r>
    </w:p>
    <w:p>
      <w:pPr>
        <w:snapToGrid w:val="0"/>
        <w:spacing w:line="560" w:lineRule="exact"/>
        <w:ind w:firstLine="640" w:firstLineChars="200"/>
        <w:rPr>
          <w:rFonts w:ascii="Times New Roman" w:hAnsi="Times New Roman" w:eastAsia="仿宋" w:cs="仿宋"/>
          <w:kern w:val="0"/>
          <w:sz w:val="32"/>
          <w:szCs w:val="32"/>
        </w:rPr>
      </w:pPr>
      <w:r>
        <w:rPr>
          <w:rFonts w:hint="eastAsia" w:ascii="Times New Roman" w:hAnsi="Times New Roman" w:eastAsia="仿宋" w:cs="仿宋"/>
          <w:kern w:val="0"/>
          <w:sz w:val="32"/>
          <w:szCs w:val="32"/>
        </w:rPr>
        <w:t>在规定时间内按规范操作完成兽用金属注射器的部件识别、安装、调试、抽液，及药物的稀释和吸取，时间</w:t>
      </w:r>
      <w:r>
        <w:rPr>
          <w:rFonts w:ascii="Times New Roman" w:hAnsi="Times New Roman" w:eastAsia="仿宋" w:cs="仿宋"/>
          <w:kern w:val="0"/>
          <w:sz w:val="32"/>
          <w:szCs w:val="32"/>
        </w:rPr>
        <w:t>30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分钟，总分5</w:t>
      </w:r>
      <w:r>
        <w:rPr>
          <w:rFonts w:ascii="Times New Roman" w:hAnsi="Times New Roman" w:eastAsia="仿宋" w:cs="仿宋"/>
          <w:kern w:val="0"/>
          <w:sz w:val="32"/>
          <w:szCs w:val="32"/>
        </w:rPr>
        <w:t>0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分。</w:t>
      </w:r>
    </w:p>
    <w:p>
      <w:pPr>
        <w:snapToGrid w:val="0"/>
        <w:spacing w:line="400" w:lineRule="exact"/>
        <w:jc w:val="center"/>
        <w:rPr>
          <w:rFonts w:ascii="Times New Roman" w:hAnsi="Times New Roman" w:eastAsia="仿宋" w:cs="仿宋"/>
          <w:b/>
          <w:kern w:val="0"/>
          <w:sz w:val="24"/>
          <w:szCs w:val="21"/>
        </w:rPr>
      </w:pPr>
      <w:r>
        <w:rPr>
          <w:rFonts w:hint="eastAsia" w:ascii="Times New Roman" w:hAnsi="Times New Roman" w:eastAsia="仿宋" w:cs="仿宋"/>
          <w:b/>
          <w:kern w:val="0"/>
          <w:sz w:val="24"/>
          <w:szCs w:val="21"/>
        </w:rPr>
        <w:t>兽用金属注射器部件记录表</w:t>
      </w:r>
    </w:p>
    <w:tbl>
      <w:tblPr>
        <w:tblStyle w:val="21"/>
        <w:tblW w:w="84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9"/>
        <w:gridCol w:w="4221"/>
        <w:gridCol w:w="29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4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序号</w:t>
            </w:r>
          </w:p>
        </w:tc>
        <w:tc>
          <w:tcPr>
            <w:tcW w:w="422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部件名称</w:t>
            </w:r>
          </w:p>
        </w:tc>
        <w:tc>
          <w:tcPr>
            <w:tcW w:w="295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24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1</w:t>
            </w:r>
          </w:p>
        </w:tc>
        <w:tc>
          <w:tcPr>
            <w:tcW w:w="422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</w:p>
        </w:tc>
        <w:tc>
          <w:tcPr>
            <w:tcW w:w="295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4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2</w:t>
            </w:r>
          </w:p>
        </w:tc>
        <w:tc>
          <w:tcPr>
            <w:tcW w:w="422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</w:p>
        </w:tc>
        <w:tc>
          <w:tcPr>
            <w:tcW w:w="295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24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…</w:t>
            </w:r>
          </w:p>
        </w:tc>
        <w:tc>
          <w:tcPr>
            <w:tcW w:w="422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…</w:t>
            </w:r>
          </w:p>
        </w:tc>
        <w:tc>
          <w:tcPr>
            <w:tcW w:w="295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…</w:t>
            </w:r>
          </w:p>
        </w:tc>
      </w:tr>
    </w:tbl>
    <w:p>
      <w:pPr>
        <w:spacing w:line="560" w:lineRule="exact"/>
        <w:ind w:firstLine="640" w:firstLineChars="200"/>
        <w:rPr>
          <w:rFonts w:ascii="Times New Roman" w:hAnsi="Times New Roman" w:eastAsia="仿宋" w:cs="仿宋"/>
          <w:kern w:val="0"/>
          <w:sz w:val="32"/>
          <w:szCs w:val="32"/>
        </w:rPr>
      </w:pPr>
      <w:r>
        <w:rPr>
          <w:rFonts w:ascii="Times New Roman" w:hAnsi="Times New Roman" w:eastAsia="仿宋" w:cs="仿宋"/>
          <w:kern w:val="0"/>
          <w:sz w:val="32"/>
          <w:szCs w:val="32"/>
        </w:rPr>
        <w:t>2.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评分标准</w:t>
      </w:r>
    </w:p>
    <w:tbl>
      <w:tblPr>
        <w:tblStyle w:val="21"/>
        <w:tblW w:w="8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701"/>
        <w:gridCol w:w="5387"/>
        <w:gridCol w:w="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tblHeader/>
          <w:jc w:val="center"/>
        </w:trPr>
        <w:tc>
          <w:tcPr>
            <w:tcW w:w="704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 w:cs="仿宋"/>
                <w:b/>
                <w:sz w:val="24"/>
              </w:rPr>
            </w:pPr>
            <w:r>
              <w:rPr>
                <w:rFonts w:hint="eastAsia" w:ascii="Times New Roman" w:hAnsi="Times New Roman" w:eastAsia="仿宋" w:cs="仿宋"/>
                <w:b/>
                <w:sz w:val="24"/>
              </w:rPr>
              <w:t>序号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 w:cs="仿宋"/>
                <w:b/>
                <w:sz w:val="24"/>
              </w:rPr>
            </w:pPr>
            <w:r>
              <w:rPr>
                <w:rFonts w:hint="eastAsia" w:ascii="Times New Roman" w:hAnsi="Times New Roman" w:eastAsia="仿宋" w:cs="仿宋"/>
                <w:b/>
                <w:sz w:val="24"/>
              </w:rPr>
              <w:t>评分要点</w:t>
            </w:r>
          </w:p>
        </w:tc>
        <w:tc>
          <w:tcPr>
            <w:tcW w:w="5387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 w:cs="仿宋"/>
                <w:b/>
                <w:sz w:val="24"/>
              </w:rPr>
            </w:pPr>
            <w:r>
              <w:rPr>
                <w:rFonts w:hint="eastAsia" w:ascii="Times New Roman" w:hAnsi="Times New Roman" w:eastAsia="仿宋" w:cs="仿宋"/>
                <w:b/>
                <w:sz w:val="24"/>
              </w:rPr>
              <w:t>评分依据</w:t>
            </w:r>
          </w:p>
        </w:tc>
        <w:tc>
          <w:tcPr>
            <w:tcW w:w="779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 w:cs="仿宋"/>
                <w:b/>
                <w:sz w:val="24"/>
              </w:rPr>
            </w:pPr>
            <w:r>
              <w:rPr>
                <w:rFonts w:hint="eastAsia" w:ascii="Times New Roman" w:hAnsi="Times New Roman" w:eastAsia="仿宋" w:cs="仿宋"/>
                <w:b/>
                <w:sz w:val="24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04" w:type="dxa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1</w:t>
            </w:r>
          </w:p>
        </w:tc>
        <w:tc>
          <w:tcPr>
            <w:tcW w:w="1701" w:type="dxa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部件名称识别</w:t>
            </w:r>
          </w:p>
        </w:tc>
        <w:tc>
          <w:tcPr>
            <w:tcW w:w="5387" w:type="dxa"/>
            <w:vAlign w:val="center"/>
          </w:tcPr>
          <w:p>
            <w:pPr>
              <w:topLinePunct/>
              <w:adjustRightInd w:val="0"/>
              <w:snapToGrid w:val="0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分别写出各零部件名称</w:t>
            </w:r>
          </w:p>
        </w:tc>
        <w:tc>
          <w:tcPr>
            <w:tcW w:w="779" w:type="dxa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704" w:type="dxa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2</w:t>
            </w:r>
          </w:p>
        </w:tc>
        <w:tc>
          <w:tcPr>
            <w:tcW w:w="1701" w:type="dxa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安装</w:t>
            </w:r>
          </w:p>
        </w:tc>
        <w:tc>
          <w:tcPr>
            <w:tcW w:w="5387" w:type="dxa"/>
            <w:vAlign w:val="center"/>
          </w:tcPr>
          <w:p>
            <w:pPr>
              <w:topLinePunct/>
              <w:adjustRightInd w:val="0"/>
              <w:snapToGrid w:val="0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安装规范，刻度管安装方向正确</w:t>
            </w:r>
          </w:p>
        </w:tc>
        <w:tc>
          <w:tcPr>
            <w:tcW w:w="779" w:type="dxa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704" w:type="dxa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3</w:t>
            </w:r>
          </w:p>
        </w:tc>
        <w:tc>
          <w:tcPr>
            <w:tcW w:w="1701" w:type="dxa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调试与气密性检查</w:t>
            </w:r>
          </w:p>
        </w:tc>
        <w:tc>
          <w:tcPr>
            <w:tcW w:w="5387" w:type="dxa"/>
            <w:vAlign w:val="center"/>
          </w:tcPr>
          <w:p>
            <w:pPr>
              <w:topLinePunct/>
              <w:adjustRightInd w:val="0"/>
              <w:snapToGrid w:val="0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调试活塞正确，气密性检查正确</w:t>
            </w:r>
          </w:p>
        </w:tc>
        <w:tc>
          <w:tcPr>
            <w:tcW w:w="779" w:type="dxa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704" w:type="dxa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4</w:t>
            </w:r>
          </w:p>
        </w:tc>
        <w:tc>
          <w:tcPr>
            <w:tcW w:w="1701" w:type="dxa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抽液</w:t>
            </w:r>
          </w:p>
        </w:tc>
        <w:tc>
          <w:tcPr>
            <w:tcW w:w="5387" w:type="dxa"/>
            <w:vAlign w:val="center"/>
          </w:tcPr>
          <w:p>
            <w:pPr>
              <w:topLinePunct/>
              <w:adjustRightInd w:val="0"/>
              <w:snapToGrid w:val="0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持针、持瓶姿式正</w:t>
            </w:r>
            <w:r>
              <w:rPr>
                <w:rFonts w:hint="eastAsia" w:ascii="Times New Roman" w:hAnsi="Times New Roman" w:eastAsia="仿宋" w:cs="仿宋"/>
                <w:color w:val="000000"/>
                <w:sz w:val="24"/>
              </w:rPr>
              <w:t>确，抽取定量蒸馏</w:t>
            </w:r>
            <w:r>
              <w:rPr>
                <w:rFonts w:hint="eastAsia" w:ascii="Times New Roman" w:hAnsi="Times New Roman" w:eastAsia="仿宋" w:cs="仿宋"/>
                <w:sz w:val="24"/>
              </w:rPr>
              <w:t>水，无气泡或气泡少，排气动作准确</w:t>
            </w:r>
          </w:p>
        </w:tc>
        <w:tc>
          <w:tcPr>
            <w:tcW w:w="779" w:type="dxa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  <w:jc w:val="center"/>
        </w:trPr>
        <w:tc>
          <w:tcPr>
            <w:tcW w:w="704" w:type="dxa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5</w:t>
            </w:r>
          </w:p>
        </w:tc>
        <w:tc>
          <w:tcPr>
            <w:tcW w:w="1701" w:type="dxa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稀释药物</w:t>
            </w:r>
          </w:p>
        </w:tc>
        <w:tc>
          <w:tcPr>
            <w:tcW w:w="5387" w:type="dxa"/>
            <w:vAlign w:val="center"/>
          </w:tcPr>
          <w:p>
            <w:pPr>
              <w:topLinePunct/>
              <w:adjustRightInd w:val="0"/>
              <w:snapToGrid w:val="0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一次性注射器取用规范，打开安瓿瓶的方法正确，吸取灭菌用水熟练，稀释西林瓶中的药品正确，持针、持瓶操作规范，药品溶解完全，药液不喷洒</w:t>
            </w:r>
          </w:p>
        </w:tc>
        <w:tc>
          <w:tcPr>
            <w:tcW w:w="779" w:type="dxa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704" w:type="dxa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6</w:t>
            </w:r>
          </w:p>
        </w:tc>
        <w:tc>
          <w:tcPr>
            <w:tcW w:w="1701" w:type="dxa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吸取药物</w:t>
            </w:r>
          </w:p>
        </w:tc>
        <w:tc>
          <w:tcPr>
            <w:tcW w:w="5387" w:type="dxa"/>
            <w:vAlign w:val="center"/>
          </w:tcPr>
          <w:p>
            <w:pPr>
              <w:topLinePunct/>
              <w:adjustRightInd w:val="0"/>
              <w:snapToGrid w:val="0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从西林瓶中吸取已溶解的药液，吸液时操作规范，药液吸取量精确，操作过程中针尖不出现毛刺</w:t>
            </w:r>
          </w:p>
        </w:tc>
        <w:tc>
          <w:tcPr>
            <w:tcW w:w="779" w:type="dxa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04" w:type="dxa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7</w:t>
            </w:r>
          </w:p>
        </w:tc>
        <w:tc>
          <w:tcPr>
            <w:tcW w:w="1701" w:type="dxa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器材整理</w:t>
            </w:r>
          </w:p>
        </w:tc>
        <w:tc>
          <w:tcPr>
            <w:tcW w:w="5387" w:type="dxa"/>
            <w:vAlign w:val="center"/>
          </w:tcPr>
          <w:p>
            <w:pPr>
              <w:topLinePunct/>
              <w:adjustRightInd w:val="0"/>
              <w:snapToGrid w:val="0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注射器复位正确，台面清洁</w:t>
            </w:r>
          </w:p>
        </w:tc>
        <w:tc>
          <w:tcPr>
            <w:tcW w:w="779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 w:cs="仿宋"/>
                <w:bCs/>
                <w:sz w:val="24"/>
              </w:rPr>
            </w:pPr>
            <w:r>
              <w:rPr>
                <w:rFonts w:hint="eastAsia" w:ascii="Times New Roman" w:hAnsi="Times New Roman" w:eastAsia="仿宋" w:cs="仿宋"/>
                <w:bCs/>
                <w:sz w:val="24"/>
              </w:rPr>
              <w:t>2</w:t>
            </w:r>
          </w:p>
        </w:tc>
      </w:tr>
    </w:tbl>
    <w:p>
      <w:pPr>
        <w:rPr>
          <w:rFonts w:ascii="Times New Roman" w:hAnsi="Times New Roman" w:eastAsia="仿宋" w:cs="仿宋"/>
          <w:color w:val="FF0000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5074B63-2393-4C32-AA14-1DE1BD8F014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F7D01CD1-D31F-4FA2-8AFE-B2CB5C204A39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7B23D63E-A015-498F-AAB4-3E6692B98556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9EFCC18F-9418-43C2-AEC8-BC3833B133DF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220E7270-1E3A-491C-801D-D799261E68D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58122535"/>
    </w:sdtPr>
    <w:sdtEndPr>
      <w:rPr>
        <w:rFonts w:ascii="Times New Roman" w:hAnsi="Times New Roman" w:cs="Times New Roman"/>
      </w:rPr>
    </w:sdtEndPr>
    <w:sdtContent>
      <w:sdt>
        <w:sdtPr>
          <w:id w:val="-1769616900"/>
        </w:sdtPr>
        <w:sdtEndPr>
          <w:rPr>
            <w:rFonts w:ascii="Times New Roman" w:hAnsi="Times New Roman" w:cs="Times New Roman"/>
          </w:rPr>
        </w:sdtEndPr>
        <w:sdtContent>
          <w:p>
            <w:pPr>
              <w:pStyle w:val="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bCs/>
              </w:rPr>
              <w:instrText xml:space="preserve">PAGE</w:instrTex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</w:rPr>
              <w:t>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lang w:val="zh-CN"/>
              </w:rPr>
              <w:t xml:space="preserve"> /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bCs/>
              </w:rPr>
              <w:instrText xml:space="preserve">NUMPAGES</w:instrTex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</w:rPr>
              <w:t>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1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324662"/>
    <w:multiLevelType w:val="multilevel"/>
    <w:tmpl w:val="21324662"/>
    <w:lvl w:ilvl="0" w:tentative="0">
      <w:start w:val="1"/>
      <w:numFmt w:val="decimal"/>
      <w:pStyle w:val="2"/>
      <w:lvlText w:val="%1"/>
      <w:lvlJc w:val="left"/>
      <w:pPr>
        <w:ind w:left="432" w:hanging="432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decimal"/>
      <w:pStyle w:val="3"/>
      <w:isLgl/>
      <w:lvlText w:val="%1.%2"/>
      <w:lvlJc w:val="left"/>
      <w:pPr>
        <w:ind w:left="576" w:hanging="576"/>
      </w:pPr>
      <w:rPr>
        <w:rFonts w:hint="eastAsia"/>
        <w:lang w:val="en-US"/>
      </w:rPr>
    </w:lvl>
    <w:lvl w:ilvl="2" w:tentative="0">
      <w:start w:val="1"/>
      <w:numFmt w:val="decimal"/>
      <w:pStyle w:val="4"/>
      <w:isLgl/>
      <w:lvlText w:val="%1.%2.%3"/>
      <w:lvlJc w:val="left"/>
      <w:pPr>
        <w:ind w:left="4974" w:hanging="720"/>
      </w:pPr>
      <w:rPr>
        <w:rFonts w:hint="eastAsia"/>
      </w:rPr>
    </w:lvl>
    <w:lvl w:ilvl="3" w:tentative="0">
      <w:start w:val="1"/>
      <w:numFmt w:val="decimal"/>
      <w:pStyle w:val="5"/>
      <w:isLgl/>
      <w:lvlText w:val="%1.%2.%3.%4"/>
      <w:lvlJc w:val="left"/>
      <w:pPr>
        <w:ind w:left="864" w:hanging="864"/>
      </w:pPr>
      <w:rPr>
        <w:rFonts w:hint="eastAsia"/>
        <w:lang w:val="en-US"/>
      </w:rPr>
    </w:lvl>
    <w:lvl w:ilvl="4" w:tentative="0">
      <w:start w:val="1"/>
      <w:numFmt w:val="decimal"/>
      <w:pStyle w:val="6"/>
      <w:isLgl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isLgl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isLgl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isLgl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isLgl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>
    <w:nsid w:val="2EE97B71"/>
    <w:multiLevelType w:val="singleLevel"/>
    <w:tmpl w:val="2EE97B71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638"/>
    <w:rsid w:val="000143E3"/>
    <w:rsid w:val="00020A8E"/>
    <w:rsid w:val="00064D9C"/>
    <w:rsid w:val="000E4A04"/>
    <w:rsid w:val="00156969"/>
    <w:rsid w:val="00164638"/>
    <w:rsid w:val="00173F74"/>
    <w:rsid w:val="001C57D6"/>
    <w:rsid w:val="001F19EE"/>
    <w:rsid w:val="00271402"/>
    <w:rsid w:val="002B1B2F"/>
    <w:rsid w:val="002C08FB"/>
    <w:rsid w:val="002D12E5"/>
    <w:rsid w:val="00347C6A"/>
    <w:rsid w:val="0036131D"/>
    <w:rsid w:val="00362978"/>
    <w:rsid w:val="003B5438"/>
    <w:rsid w:val="003C5F9E"/>
    <w:rsid w:val="003D6897"/>
    <w:rsid w:val="00410F6F"/>
    <w:rsid w:val="00413168"/>
    <w:rsid w:val="0041756A"/>
    <w:rsid w:val="00422C33"/>
    <w:rsid w:val="00427B27"/>
    <w:rsid w:val="0045253D"/>
    <w:rsid w:val="00476D2D"/>
    <w:rsid w:val="004D210F"/>
    <w:rsid w:val="00522380"/>
    <w:rsid w:val="00542860"/>
    <w:rsid w:val="005579B5"/>
    <w:rsid w:val="00580301"/>
    <w:rsid w:val="006152CE"/>
    <w:rsid w:val="00630D75"/>
    <w:rsid w:val="00641F91"/>
    <w:rsid w:val="00643059"/>
    <w:rsid w:val="0065524E"/>
    <w:rsid w:val="006713B0"/>
    <w:rsid w:val="006E16ED"/>
    <w:rsid w:val="006F5C66"/>
    <w:rsid w:val="007152DB"/>
    <w:rsid w:val="00715567"/>
    <w:rsid w:val="00732D69"/>
    <w:rsid w:val="00756F5E"/>
    <w:rsid w:val="007934AC"/>
    <w:rsid w:val="007C4B66"/>
    <w:rsid w:val="007C5594"/>
    <w:rsid w:val="007C5CD6"/>
    <w:rsid w:val="007C660C"/>
    <w:rsid w:val="007F0F52"/>
    <w:rsid w:val="007F3223"/>
    <w:rsid w:val="00826C88"/>
    <w:rsid w:val="008825EC"/>
    <w:rsid w:val="008855AC"/>
    <w:rsid w:val="008D6EAE"/>
    <w:rsid w:val="0093138D"/>
    <w:rsid w:val="00992561"/>
    <w:rsid w:val="009F7CDA"/>
    <w:rsid w:val="00A1314E"/>
    <w:rsid w:val="00A353FF"/>
    <w:rsid w:val="00A65D20"/>
    <w:rsid w:val="00A81623"/>
    <w:rsid w:val="00AA74AA"/>
    <w:rsid w:val="00AF54A9"/>
    <w:rsid w:val="00B172FC"/>
    <w:rsid w:val="00B33151"/>
    <w:rsid w:val="00B75939"/>
    <w:rsid w:val="00B92EC4"/>
    <w:rsid w:val="00BF129B"/>
    <w:rsid w:val="00C31103"/>
    <w:rsid w:val="00C922CB"/>
    <w:rsid w:val="00CF48F7"/>
    <w:rsid w:val="00D51A00"/>
    <w:rsid w:val="00DA3341"/>
    <w:rsid w:val="00DD570F"/>
    <w:rsid w:val="00DE4B85"/>
    <w:rsid w:val="00E13302"/>
    <w:rsid w:val="00E371E1"/>
    <w:rsid w:val="00E52057"/>
    <w:rsid w:val="00F00CC8"/>
    <w:rsid w:val="00F211A4"/>
    <w:rsid w:val="00F603FA"/>
    <w:rsid w:val="00F60D40"/>
    <w:rsid w:val="00F831B2"/>
    <w:rsid w:val="00FB697E"/>
    <w:rsid w:val="00FB7251"/>
    <w:rsid w:val="00FE13D3"/>
    <w:rsid w:val="00FE286D"/>
    <w:rsid w:val="023A193D"/>
    <w:rsid w:val="0B3B0803"/>
    <w:rsid w:val="0B7E70C1"/>
    <w:rsid w:val="10DF25B1"/>
    <w:rsid w:val="16475888"/>
    <w:rsid w:val="19EE6047"/>
    <w:rsid w:val="1B283543"/>
    <w:rsid w:val="1F4D55E4"/>
    <w:rsid w:val="21B14FAD"/>
    <w:rsid w:val="22DE2D0C"/>
    <w:rsid w:val="2A901BE6"/>
    <w:rsid w:val="2B9108F6"/>
    <w:rsid w:val="2ED50D0B"/>
    <w:rsid w:val="302B43D3"/>
    <w:rsid w:val="32723C61"/>
    <w:rsid w:val="38006091"/>
    <w:rsid w:val="38844F6F"/>
    <w:rsid w:val="397C36E6"/>
    <w:rsid w:val="47011AD5"/>
    <w:rsid w:val="48245C19"/>
    <w:rsid w:val="4B791802"/>
    <w:rsid w:val="5B6000E9"/>
    <w:rsid w:val="642854D6"/>
    <w:rsid w:val="661104F4"/>
    <w:rsid w:val="673159DC"/>
    <w:rsid w:val="694F6AEC"/>
    <w:rsid w:val="6EC2363D"/>
    <w:rsid w:val="6F087D63"/>
    <w:rsid w:val="70A20554"/>
    <w:rsid w:val="793F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1"/>
    <w:qFormat/>
    <w:uiPriority w:val="9"/>
    <w:pPr>
      <w:keepNext/>
      <w:keepLines/>
      <w:pageBreakBefore/>
      <w:numPr>
        <w:ilvl w:val="0"/>
        <w:numId w:val="1"/>
      </w:numPr>
      <w:spacing w:before="340" w:after="330" w:line="578" w:lineRule="auto"/>
      <w:jc w:val="left"/>
      <w:outlineLvl w:val="0"/>
    </w:pPr>
    <w:rPr>
      <w:rFonts w:ascii="Calibri" w:hAnsi="Calibri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2"/>
    <w:qFormat/>
    <w:uiPriority w:val="0"/>
    <w:pPr>
      <w:keepLines/>
      <w:numPr>
        <w:ilvl w:val="1"/>
        <w:numId w:val="1"/>
      </w:numPr>
      <w:spacing w:before="260" w:after="260" w:line="415" w:lineRule="auto"/>
      <w:jc w:val="left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paragraph" w:styleId="4">
    <w:name w:val="heading 3"/>
    <w:basedOn w:val="1"/>
    <w:next w:val="1"/>
    <w:link w:val="33"/>
    <w:qFormat/>
    <w:uiPriority w:val="0"/>
    <w:pPr>
      <w:keepNext/>
      <w:keepLines/>
      <w:numPr>
        <w:ilvl w:val="2"/>
        <w:numId w:val="1"/>
      </w:numPr>
      <w:spacing w:before="120" w:after="120" w:line="415" w:lineRule="auto"/>
      <w:jc w:val="left"/>
      <w:outlineLvl w:val="2"/>
    </w:pPr>
    <w:rPr>
      <w:rFonts w:ascii="Calibri" w:hAnsi="Calibri" w:eastAsia="宋体" w:cs="Times New Roman"/>
      <w:b/>
      <w:bCs/>
      <w:sz w:val="32"/>
      <w:szCs w:val="32"/>
    </w:rPr>
  </w:style>
  <w:style w:type="paragraph" w:styleId="5">
    <w:name w:val="heading 4"/>
    <w:basedOn w:val="1"/>
    <w:next w:val="1"/>
    <w:link w:val="34"/>
    <w:qFormat/>
    <w:uiPriority w:val="0"/>
    <w:pPr>
      <w:keepNext/>
      <w:keepLines/>
      <w:numPr>
        <w:ilvl w:val="3"/>
        <w:numId w:val="1"/>
      </w:numPr>
      <w:spacing w:line="360" w:lineRule="auto"/>
      <w:outlineLvl w:val="3"/>
    </w:pPr>
    <w:rPr>
      <w:rFonts w:ascii="仿宋" w:hAnsi="仿宋" w:eastAsia="仿宋" w:cs="Times New Roman"/>
      <w:bCs/>
      <w:sz w:val="28"/>
      <w:szCs w:val="28"/>
    </w:rPr>
  </w:style>
  <w:style w:type="paragraph" w:styleId="6">
    <w:name w:val="heading 5"/>
    <w:basedOn w:val="1"/>
    <w:next w:val="1"/>
    <w:link w:val="35"/>
    <w:qFormat/>
    <w:uiPriority w:val="0"/>
    <w:pPr>
      <w:keepNext/>
      <w:keepLines/>
      <w:numPr>
        <w:ilvl w:val="4"/>
        <w:numId w:val="1"/>
      </w:numPr>
      <w:spacing w:before="120" w:after="120" w:line="377" w:lineRule="auto"/>
      <w:outlineLvl w:val="4"/>
    </w:pPr>
    <w:rPr>
      <w:rFonts w:ascii="Calibri" w:hAnsi="Calibri" w:eastAsia="宋体" w:cs="Times New Roman"/>
      <w:b/>
      <w:bCs/>
      <w:sz w:val="28"/>
      <w:szCs w:val="28"/>
    </w:rPr>
  </w:style>
  <w:style w:type="paragraph" w:styleId="7">
    <w:name w:val="heading 6"/>
    <w:basedOn w:val="1"/>
    <w:next w:val="1"/>
    <w:link w:val="36"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hAnsi="Cambria" w:eastAsia="宋体" w:cs="Times New Roman"/>
      <w:b/>
      <w:bCs/>
      <w:sz w:val="24"/>
      <w:szCs w:val="24"/>
    </w:rPr>
  </w:style>
  <w:style w:type="paragraph" w:styleId="8">
    <w:name w:val="heading 7"/>
    <w:basedOn w:val="1"/>
    <w:next w:val="1"/>
    <w:link w:val="37"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rFonts w:ascii="Calibri" w:hAnsi="Calibri" w:eastAsia="宋体" w:cs="Times New Roman"/>
      <w:b/>
      <w:bCs/>
      <w:sz w:val="24"/>
      <w:szCs w:val="24"/>
    </w:rPr>
  </w:style>
  <w:style w:type="paragraph" w:styleId="9">
    <w:name w:val="heading 8"/>
    <w:basedOn w:val="1"/>
    <w:next w:val="1"/>
    <w:link w:val="38"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hAnsi="Cambria" w:eastAsia="宋体" w:cs="Times New Roman"/>
      <w:sz w:val="24"/>
      <w:szCs w:val="24"/>
    </w:rPr>
  </w:style>
  <w:style w:type="paragraph" w:styleId="10">
    <w:name w:val="heading 9"/>
    <w:basedOn w:val="1"/>
    <w:next w:val="1"/>
    <w:link w:val="39"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hAnsi="Cambria" w:eastAsia="宋体" w:cs="Times New Roman"/>
      <w:szCs w:val="21"/>
    </w:r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link w:val="57"/>
    <w:qFormat/>
    <w:uiPriority w:val="0"/>
    <w:pPr>
      <w:spacing w:beforeLines="50" w:afterLines="50" w:line="360" w:lineRule="auto"/>
      <w:ind w:firstLine="480" w:firstLineChars="200"/>
    </w:pPr>
    <w:rPr>
      <w:rFonts w:ascii="宋体" w:hAnsi="宋体" w:eastAsia="宋体"/>
      <w:sz w:val="24"/>
      <w:szCs w:val="24"/>
    </w:rPr>
  </w:style>
  <w:style w:type="paragraph" w:styleId="12">
    <w:name w:val="caption"/>
    <w:basedOn w:val="1"/>
    <w:next w:val="1"/>
    <w:link w:val="42"/>
    <w:qFormat/>
    <w:uiPriority w:val="0"/>
    <w:pPr>
      <w:widowControl/>
      <w:spacing w:before="120" w:after="240"/>
      <w:jc w:val="center"/>
    </w:pPr>
    <w:rPr>
      <w:rFonts w:ascii="Times New Roman" w:hAnsi="Times New Roman" w:eastAsia="宋体"/>
      <w:bCs/>
      <w:szCs w:val="21"/>
    </w:rPr>
  </w:style>
  <w:style w:type="paragraph" w:styleId="13">
    <w:name w:val="annotation text"/>
    <w:basedOn w:val="1"/>
    <w:link w:val="61"/>
    <w:unhideWhenUsed/>
    <w:qFormat/>
    <w:uiPriority w:val="0"/>
    <w:pPr>
      <w:jc w:val="left"/>
    </w:pPr>
  </w:style>
  <w:style w:type="paragraph" w:styleId="14">
    <w:name w:val="Plain Text"/>
    <w:basedOn w:val="1"/>
    <w:link w:val="43"/>
    <w:qFormat/>
    <w:uiPriority w:val="0"/>
    <w:rPr>
      <w:rFonts w:ascii="宋体" w:hAnsi="Courier New" w:eastAsia="宋体" w:cs="Courier New"/>
      <w:szCs w:val="21"/>
    </w:rPr>
  </w:style>
  <w:style w:type="paragraph" w:styleId="15">
    <w:name w:val="Balloon Text"/>
    <w:basedOn w:val="1"/>
    <w:link w:val="65"/>
    <w:semiHidden/>
    <w:qFormat/>
    <w:uiPriority w:val="0"/>
    <w:rPr>
      <w:rFonts w:ascii="Calibri" w:hAnsi="Calibri" w:eastAsia="宋体" w:cs="Times New Roman"/>
      <w:sz w:val="18"/>
      <w:szCs w:val="18"/>
    </w:rPr>
  </w:style>
  <w:style w:type="paragraph" w:styleId="16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2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">
    <w:name w:val="HTML Preformatted"/>
    <w:basedOn w:val="1"/>
    <w:link w:val="44"/>
    <w:unhideWhenUsed/>
    <w:qFormat/>
    <w:uiPriority w:val="99"/>
    <w:rPr>
      <w:rFonts w:ascii="Courier New" w:hAnsi="Courier New" w:eastAsia="宋体" w:cs="Courier New"/>
      <w:sz w:val="28"/>
    </w:rPr>
  </w:style>
  <w:style w:type="paragraph" w:styleId="19">
    <w:name w:val="Title"/>
    <w:basedOn w:val="1"/>
    <w:next w:val="1"/>
    <w:link w:val="41"/>
    <w:qFormat/>
    <w:uiPriority w:val="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 w:val="32"/>
      <w:szCs w:val="32"/>
    </w:rPr>
  </w:style>
  <w:style w:type="paragraph" w:styleId="20">
    <w:name w:val="annotation subject"/>
    <w:basedOn w:val="13"/>
    <w:next w:val="13"/>
    <w:link w:val="40"/>
    <w:qFormat/>
    <w:uiPriority w:val="0"/>
    <w:rPr>
      <w:rFonts w:ascii="Times New Roman" w:hAnsi="Times New Roman" w:eastAsia="宋体"/>
      <w:b/>
      <w:bCs/>
      <w:szCs w:val="24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4">
    <w:name w:val="Strong"/>
    <w:qFormat/>
    <w:uiPriority w:val="22"/>
    <w:rPr>
      <w:b/>
      <w:bCs/>
    </w:rPr>
  </w:style>
  <w:style w:type="character" w:styleId="25">
    <w:name w:val="page number"/>
    <w:basedOn w:val="23"/>
    <w:qFormat/>
    <w:uiPriority w:val="0"/>
  </w:style>
  <w:style w:type="character" w:styleId="26">
    <w:name w:val="FollowedHyperlink"/>
    <w:unhideWhenUsed/>
    <w:qFormat/>
    <w:uiPriority w:val="99"/>
    <w:rPr>
      <w:color w:val="800080"/>
      <w:u w:val="single"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qFormat/>
    <w:uiPriority w:val="0"/>
    <w:rPr>
      <w:sz w:val="21"/>
      <w:szCs w:val="21"/>
    </w:rPr>
  </w:style>
  <w:style w:type="character" w:customStyle="1" w:styleId="29">
    <w:name w:val="页眉 字符"/>
    <w:basedOn w:val="23"/>
    <w:link w:val="17"/>
    <w:qFormat/>
    <w:uiPriority w:val="99"/>
    <w:rPr>
      <w:sz w:val="18"/>
      <w:szCs w:val="18"/>
    </w:rPr>
  </w:style>
  <w:style w:type="character" w:customStyle="1" w:styleId="30">
    <w:name w:val="页脚 字符"/>
    <w:basedOn w:val="23"/>
    <w:link w:val="16"/>
    <w:qFormat/>
    <w:uiPriority w:val="99"/>
    <w:rPr>
      <w:sz w:val="18"/>
      <w:szCs w:val="18"/>
    </w:rPr>
  </w:style>
  <w:style w:type="character" w:customStyle="1" w:styleId="31">
    <w:name w:val="标题 1 字符"/>
    <w:basedOn w:val="23"/>
    <w:link w:val="2"/>
    <w:qFormat/>
    <w:uiPriority w:val="9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32">
    <w:name w:val="标题 2 字符"/>
    <w:basedOn w:val="23"/>
    <w:link w:val="3"/>
    <w:qFormat/>
    <w:uiPriority w:val="0"/>
    <w:rPr>
      <w:rFonts w:ascii="Cambria" w:hAnsi="Cambria" w:cs="Times New Roman"/>
      <w:b/>
      <w:bCs/>
      <w:sz w:val="32"/>
      <w:szCs w:val="32"/>
    </w:rPr>
  </w:style>
  <w:style w:type="character" w:customStyle="1" w:styleId="33">
    <w:name w:val="标题 3 字符"/>
    <w:basedOn w:val="23"/>
    <w:link w:val="4"/>
    <w:qFormat/>
    <w:uiPriority w:val="0"/>
    <w:rPr>
      <w:rFonts w:ascii="Calibri" w:hAnsi="Calibri" w:cs="Times New Roman"/>
      <w:b/>
      <w:bCs/>
      <w:sz w:val="32"/>
      <w:szCs w:val="32"/>
    </w:rPr>
  </w:style>
  <w:style w:type="character" w:customStyle="1" w:styleId="34">
    <w:name w:val="标题 4 字符"/>
    <w:basedOn w:val="23"/>
    <w:link w:val="5"/>
    <w:qFormat/>
    <w:uiPriority w:val="0"/>
    <w:rPr>
      <w:rFonts w:ascii="仿宋" w:hAnsi="仿宋" w:eastAsia="仿宋" w:cs="Times New Roman"/>
      <w:bCs/>
      <w:szCs w:val="28"/>
    </w:rPr>
  </w:style>
  <w:style w:type="character" w:customStyle="1" w:styleId="35">
    <w:name w:val="标题 5 字符"/>
    <w:basedOn w:val="23"/>
    <w:link w:val="6"/>
    <w:qFormat/>
    <w:uiPriority w:val="0"/>
    <w:rPr>
      <w:rFonts w:ascii="Calibri" w:hAnsi="Calibri" w:cs="Times New Roman"/>
      <w:b/>
      <w:bCs/>
      <w:szCs w:val="28"/>
    </w:rPr>
  </w:style>
  <w:style w:type="character" w:customStyle="1" w:styleId="36">
    <w:name w:val="标题 6 字符"/>
    <w:basedOn w:val="23"/>
    <w:link w:val="7"/>
    <w:qFormat/>
    <w:uiPriority w:val="0"/>
    <w:rPr>
      <w:rFonts w:ascii="Cambria" w:hAnsi="Cambria" w:cs="Times New Roman"/>
      <w:b/>
      <w:bCs/>
      <w:sz w:val="24"/>
      <w:szCs w:val="24"/>
    </w:rPr>
  </w:style>
  <w:style w:type="character" w:customStyle="1" w:styleId="37">
    <w:name w:val="标题 7 字符"/>
    <w:basedOn w:val="23"/>
    <w:link w:val="8"/>
    <w:qFormat/>
    <w:uiPriority w:val="0"/>
    <w:rPr>
      <w:rFonts w:ascii="Calibri" w:hAnsi="Calibri" w:cs="Times New Roman"/>
      <w:b/>
      <w:bCs/>
      <w:sz w:val="24"/>
      <w:szCs w:val="24"/>
    </w:rPr>
  </w:style>
  <w:style w:type="character" w:customStyle="1" w:styleId="38">
    <w:name w:val="标题 8 字符"/>
    <w:basedOn w:val="23"/>
    <w:link w:val="9"/>
    <w:qFormat/>
    <w:uiPriority w:val="0"/>
    <w:rPr>
      <w:rFonts w:ascii="Cambria" w:hAnsi="Cambria" w:cs="Times New Roman"/>
      <w:sz w:val="24"/>
      <w:szCs w:val="24"/>
    </w:rPr>
  </w:style>
  <w:style w:type="character" w:customStyle="1" w:styleId="39">
    <w:name w:val="标题 9 字符"/>
    <w:basedOn w:val="23"/>
    <w:link w:val="10"/>
    <w:qFormat/>
    <w:uiPriority w:val="0"/>
    <w:rPr>
      <w:rFonts w:ascii="Cambria" w:hAnsi="Cambria" w:cs="Times New Roman"/>
      <w:sz w:val="21"/>
      <w:szCs w:val="21"/>
    </w:rPr>
  </w:style>
  <w:style w:type="character" w:customStyle="1" w:styleId="40">
    <w:name w:val="批注主题 字符"/>
    <w:link w:val="20"/>
    <w:qFormat/>
    <w:uiPriority w:val="0"/>
    <w:rPr>
      <w:b/>
      <w:bCs/>
      <w:sz w:val="21"/>
      <w:szCs w:val="24"/>
    </w:rPr>
  </w:style>
  <w:style w:type="character" w:customStyle="1" w:styleId="41">
    <w:name w:val="标题 字符"/>
    <w:link w:val="19"/>
    <w:qFormat/>
    <w:uiPriority w:val="0"/>
    <w:rPr>
      <w:rFonts w:ascii="Cambria" w:hAnsi="Cambria" w:cs="Times New Roman"/>
      <w:b/>
      <w:bCs/>
      <w:sz w:val="32"/>
      <w:szCs w:val="32"/>
    </w:rPr>
  </w:style>
  <w:style w:type="character" w:customStyle="1" w:styleId="42">
    <w:name w:val="题注 字符"/>
    <w:link w:val="12"/>
    <w:qFormat/>
    <w:uiPriority w:val="0"/>
    <w:rPr>
      <w:bCs/>
      <w:sz w:val="21"/>
      <w:szCs w:val="21"/>
    </w:rPr>
  </w:style>
  <w:style w:type="character" w:customStyle="1" w:styleId="43">
    <w:name w:val="纯文本 字符"/>
    <w:link w:val="14"/>
    <w:qFormat/>
    <w:uiPriority w:val="0"/>
    <w:rPr>
      <w:rFonts w:ascii="宋体" w:hAnsi="Courier New" w:cs="Courier New"/>
      <w:sz w:val="21"/>
      <w:szCs w:val="21"/>
    </w:rPr>
  </w:style>
  <w:style w:type="character" w:customStyle="1" w:styleId="44">
    <w:name w:val="HTML 预设格式 字符"/>
    <w:link w:val="18"/>
    <w:qFormat/>
    <w:uiPriority w:val="99"/>
    <w:rPr>
      <w:rFonts w:ascii="Courier New" w:hAnsi="Courier New" w:cs="Courier New"/>
    </w:rPr>
  </w:style>
  <w:style w:type="character" w:customStyle="1" w:styleId="45">
    <w:name w:val="批注文字 字符"/>
    <w:qFormat/>
    <w:uiPriority w:val="0"/>
    <w:rPr>
      <w:kern w:val="2"/>
      <w:sz w:val="21"/>
      <w:szCs w:val="24"/>
    </w:rPr>
  </w:style>
  <w:style w:type="character" w:customStyle="1" w:styleId="46">
    <w:name w:val="正文s Char"/>
    <w:link w:val="47"/>
    <w:qFormat/>
    <w:uiPriority w:val="0"/>
    <w:rPr>
      <w:rFonts w:ascii="Calibri" w:hAnsi="Calibri"/>
      <w:sz w:val="24"/>
    </w:rPr>
  </w:style>
  <w:style w:type="paragraph" w:customStyle="1" w:styleId="47">
    <w:name w:val="正文s"/>
    <w:basedOn w:val="1"/>
    <w:link w:val="46"/>
    <w:qFormat/>
    <w:uiPriority w:val="0"/>
    <w:pPr>
      <w:spacing w:line="360" w:lineRule="auto"/>
      <w:ind w:firstLine="480" w:firstLineChars="200"/>
    </w:pPr>
    <w:rPr>
      <w:rFonts w:ascii="Calibri" w:hAnsi="Calibri" w:eastAsia="宋体"/>
      <w:sz w:val="24"/>
    </w:rPr>
  </w:style>
  <w:style w:type="character" w:customStyle="1" w:styleId="48">
    <w:name w:val="Bid_正文 Char"/>
    <w:link w:val="49"/>
    <w:qFormat/>
    <w:uiPriority w:val="0"/>
    <w:rPr>
      <w:sz w:val="24"/>
    </w:rPr>
  </w:style>
  <w:style w:type="paragraph" w:customStyle="1" w:styleId="49">
    <w:name w:val="Bid_正文"/>
    <w:basedOn w:val="11"/>
    <w:link w:val="48"/>
    <w:qFormat/>
    <w:uiPriority w:val="0"/>
    <w:pPr>
      <w:spacing w:beforeLines="0"/>
    </w:pPr>
    <w:rPr>
      <w:rFonts w:ascii="Times New Roman" w:hAnsi="Times New Roman"/>
      <w:szCs w:val="22"/>
    </w:rPr>
  </w:style>
  <w:style w:type="character" w:customStyle="1" w:styleId="50">
    <w:name w:val="N.N.N.N Char"/>
    <w:link w:val="51"/>
    <w:qFormat/>
    <w:locked/>
    <w:uiPriority w:val="0"/>
    <w:rPr>
      <w:rFonts w:ascii="微软雅黑" w:hAnsi="微软雅黑" w:eastAsia="微软雅黑"/>
      <w:b/>
      <w:sz w:val="24"/>
      <w:szCs w:val="28"/>
    </w:rPr>
  </w:style>
  <w:style w:type="paragraph" w:customStyle="1" w:styleId="51">
    <w:name w:val="N.N.N.N"/>
    <w:basedOn w:val="1"/>
    <w:next w:val="1"/>
    <w:link w:val="50"/>
    <w:qFormat/>
    <w:uiPriority w:val="0"/>
    <w:pPr>
      <w:tabs>
        <w:tab w:val="left" w:pos="360"/>
      </w:tabs>
      <w:spacing w:beforeLines="50" w:afterLines="50" w:line="400" w:lineRule="exact"/>
      <w:ind w:right="240" w:rightChars="100"/>
      <w:jc w:val="left"/>
      <w:outlineLvl w:val="3"/>
    </w:pPr>
    <w:rPr>
      <w:rFonts w:ascii="微软雅黑" w:hAnsi="微软雅黑" w:eastAsia="微软雅黑"/>
      <w:b/>
      <w:sz w:val="24"/>
      <w:szCs w:val="28"/>
    </w:rPr>
  </w:style>
  <w:style w:type="character" w:customStyle="1" w:styleId="52">
    <w:name w:val="HTML 预设格式 Char1"/>
    <w:qFormat/>
    <w:uiPriority w:val="0"/>
    <w:rPr>
      <w:rFonts w:ascii="Courier New" w:hAnsi="Courier New" w:cs="Courier New"/>
      <w:kern w:val="2"/>
    </w:rPr>
  </w:style>
  <w:style w:type="character" w:customStyle="1" w:styleId="53">
    <w:name w:val="列出段落 Char"/>
    <w:link w:val="54"/>
    <w:qFormat/>
    <w:locked/>
    <w:uiPriority w:val="34"/>
    <w:rPr>
      <w:rFonts w:ascii="Calibri" w:hAnsi="Calibri"/>
      <w:sz w:val="21"/>
    </w:rPr>
  </w:style>
  <w:style w:type="paragraph" w:customStyle="1" w:styleId="54">
    <w:name w:val="列出段落1"/>
    <w:basedOn w:val="1"/>
    <w:link w:val="53"/>
    <w:qFormat/>
    <w:uiPriority w:val="34"/>
    <w:pPr>
      <w:ind w:firstLine="420" w:firstLineChars="200"/>
    </w:pPr>
    <w:rPr>
      <w:rFonts w:ascii="Calibri" w:hAnsi="Calibri" w:eastAsia="宋体"/>
    </w:rPr>
  </w:style>
  <w:style w:type="character" w:customStyle="1" w:styleId="55">
    <w:name w:val="N.N.N Char"/>
    <w:link w:val="56"/>
    <w:qFormat/>
    <w:uiPriority w:val="0"/>
    <w:rPr>
      <w:rFonts w:ascii="微软雅黑" w:hAnsi="微软雅黑" w:eastAsia="微软雅黑"/>
      <w:b/>
      <w:szCs w:val="28"/>
    </w:rPr>
  </w:style>
  <w:style w:type="paragraph" w:customStyle="1" w:styleId="56">
    <w:name w:val="N.N.N"/>
    <w:basedOn w:val="1"/>
    <w:next w:val="1"/>
    <w:link w:val="55"/>
    <w:qFormat/>
    <w:uiPriority w:val="0"/>
    <w:pPr>
      <w:tabs>
        <w:tab w:val="left" w:pos="360"/>
      </w:tabs>
      <w:spacing w:before="156" w:after="156" w:line="480" w:lineRule="auto"/>
      <w:jc w:val="left"/>
      <w:outlineLvl w:val="2"/>
    </w:pPr>
    <w:rPr>
      <w:rFonts w:ascii="微软雅黑" w:hAnsi="微软雅黑" w:eastAsia="微软雅黑"/>
      <w:b/>
      <w:sz w:val="28"/>
      <w:szCs w:val="28"/>
    </w:rPr>
  </w:style>
  <w:style w:type="character" w:customStyle="1" w:styleId="57">
    <w:name w:val="正文缩进 字符"/>
    <w:link w:val="11"/>
    <w:qFormat/>
    <w:uiPriority w:val="0"/>
    <w:rPr>
      <w:rFonts w:ascii="宋体" w:hAnsi="宋体"/>
      <w:sz w:val="24"/>
      <w:szCs w:val="24"/>
    </w:rPr>
  </w:style>
  <w:style w:type="character" w:customStyle="1" w:styleId="58">
    <w:name w:val="p111"/>
    <w:qFormat/>
    <w:uiPriority w:val="0"/>
    <w:rPr>
      <w:rFonts w:hint="default" w:ascii="ˎ̥" w:hAnsi="ˎ̥"/>
      <w:sz w:val="22"/>
      <w:szCs w:val="22"/>
    </w:rPr>
  </w:style>
  <w:style w:type="character" w:customStyle="1" w:styleId="59">
    <w:name w:val="标题 字符1"/>
    <w:basedOn w:val="23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60">
    <w:name w:val="HTML 预设格式 字符1"/>
    <w:basedOn w:val="23"/>
    <w:semiHidden/>
    <w:qFormat/>
    <w:uiPriority w:val="99"/>
    <w:rPr>
      <w:rFonts w:ascii="Courier New" w:hAnsi="Courier New" w:cs="Courier New" w:eastAsiaTheme="minorEastAsia"/>
      <w:sz w:val="20"/>
      <w:szCs w:val="20"/>
    </w:rPr>
  </w:style>
  <w:style w:type="character" w:customStyle="1" w:styleId="61">
    <w:name w:val="批注文字 字符1"/>
    <w:basedOn w:val="23"/>
    <w:link w:val="13"/>
    <w:semiHidden/>
    <w:qFormat/>
    <w:uiPriority w:val="99"/>
    <w:rPr>
      <w:rFonts w:asciiTheme="minorHAnsi" w:hAnsiTheme="minorHAnsi" w:eastAsiaTheme="minorEastAsia"/>
      <w:sz w:val="21"/>
    </w:rPr>
  </w:style>
  <w:style w:type="character" w:customStyle="1" w:styleId="62">
    <w:name w:val="批注主题 字符1"/>
    <w:basedOn w:val="61"/>
    <w:semiHidden/>
    <w:qFormat/>
    <w:uiPriority w:val="99"/>
    <w:rPr>
      <w:rFonts w:asciiTheme="minorHAnsi" w:hAnsiTheme="minorHAnsi" w:eastAsiaTheme="minorEastAsia"/>
      <w:b/>
      <w:bCs/>
      <w:sz w:val="21"/>
    </w:rPr>
  </w:style>
  <w:style w:type="character" w:customStyle="1" w:styleId="63">
    <w:name w:val="纯文本 字符1"/>
    <w:basedOn w:val="23"/>
    <w:semiHidden/>
    <w:qFormat/>
    <w:uiPriority w:val="99"/>
    <w:rPr>
      <w:rFonts w:hAnsi="Courier New" w:cs="Courier New" w:asciiTheme="minorEastAsia" w:eastAsiaTheme="minorEastAsia"/>
      <w:sz w:val="21"/>
    </w:rPr>
  </w:style>
  <w:style w:type="paragraph" w:customStyle="1" w:styleId="64">
    <w:name w:val="_Style 56"/>
    <w:basedOn w:val="1"/>
    <w:next w:val="1"/>
    <w:qFormat/>
    <w:uiPriority w:val="0"/>
    <w:rPr>
      <w:rFonts w:ascii="Calibri" w:hAnsi="Calibri" w:eastAsia="宋体" w:cs="Times New Roman"/>
      <w:szCs w:val="24"/>
    </w:rPr>
  </w:style>
  <w:style w:type="character" w:customStyle="1" w:styleId="65">
    <w:name w:val="批注框文本 字符"/>
    <w:basedOn w:val="23"/>
    <w:link w:val="15"/>
    <w:semiHidden/>
    <w:qFormat/>
    <w:uiPriority w:val="0"/>
    <w:rPr>
      <w:rFonts w:ascii="Calibri" w:hAnsi="Calibri" w:cs="Times New Roman"/>
      <w:sz w:val="18"/>
      <w:szCs w:val="18"/>
    </w:rPr>
  </w:style>
  <w:style w:type="paragraph" w:customStyle="1" w:styleId="66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0"/>
      <w:szCs w:val="20"/>
    </w:rPr>
  </w:style>
  <w:style w:type="paragraph" w:customStyle="1" w:styleId="67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6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69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20"/>
      <w:szCs w:val="20"/>
    </w:rPr>
  </w:style>
  <w:style w:type="paragraph" w:customStyle="1" w:styleId="70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71">
    <w:name w:val="TOC 标题1"/>
    <w:basedOn w:val="2"/>
    <w:next w:val="1"/>
    <w:qFormat/>
    <w:uiPriority w:val="39"/>
    <w:pPr>
      <w:pageBreakBefore w:val="0"/>
      <w:widowControl/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72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  <w:szCs w:val="20"/>
    </w:rPr>
  </w:style>
  <w:style w:type="paragraph" w:customStyle="1" w:styleId="73">
    <w:name w:val="srni列表"/>
    <w:basedOn w:val="1"/>
    <w:qFormat/>
    <w:uiPriority w:val="0"/>
    <w:pPr>
      <w:tabs>
        <w:tab w:val="left" w:pos="425"/>
      </w:tabs>
      <w:spacing w:line="560" w:lineRule="exact"/>
      <w:ind w:left="851"/>
    </w:pPr>
    <w:rPr>
      <w:rFonts w:ascii="宋体" w:hAnsi="宋体" w:eastAsia="仿宋" w:cs="Times New Roman"/>
      <w:sz w:val="28"/>
      <w:szCs w:val="24"/>
    </w:rPr>
  </w:style>
  <w:style w:type="paragraph" w:styleId="74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303A2C-DD83-4824-A589-88D001EFBC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520</Words>
  <Characters>2968</Characters>
  <Lines>24</Lines>
  <Paragraphs>6</Paragraphs>
  <TotalTime>17</TotalTime>
  <ScaleCrop>false</ScaleCrop>
  <LinksUpToDate>false</LinksUpToDate>
  <CharactersWithSpaces>3482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2021-07-26T02:16:00Z</dcterms:created>
  <dc:creator>jsnlx</dc:creator>
  <cp:lastModifiedBy>不辣的皮皮特</cp:lastModifiedBy>
  <dcterms:modified xsi:type="dcterms:W3CDTF">2021-09-09T07:09:23Z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73B6B9F4E63B4181A002FCB269EE7D17</vt:lpwstr>
  </property>
</Properties>
</file>